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 xml:space="preserve">Projeto de Lei nº </w:t>
      </w:r>
      <w:r w:rsidR="002248AF">
        <w:rPr>
          <w:rFonts w:ascii="Times New Roman" w:hAnsi="Times New Roman"/>
          <w:b/>
          <w:sz w:val="32"/>
          <w:szCs w:val="32"/>
        </w:rPr>
        <w:t>030</w:t>
      </w:r>
      <w:r w:rsidRPr="002F40E2">
        <w:rPr>
          <w:rFonts w:ascii="Times New Roman" w:hAnsi="Times New Roman"/>
          <w:b/>
          <w:sz w:val="32"/>
          <w:szCs w:val="32"/>
        </w:rPr>
        <w:t xml:space="preserve"> de </w:t>
      </w:r>
      <w:r w:rsidR="002248AF">
        <w:rPr>
          <w:rFonts w:ascii="Times New Roman" w:hAnsi="Times New Roman"/>
          <w:b/>
          <w:sz w:val="32"/>
          <w:szCs w:val="32"/>
        </w:rPr>
        <w:t>19</w:t>
      </w:r>
      <w:r w:rsidRPr="002F40E2">
        <w:rPr>
          <w:rFonts w:ascii="Times New Roman" w:hAnsi="Times New Roman"/>
          <w:b/>
          <w:sz w:val="32"/>
          <w:szCs w:val="32"/>
        </w:rPr>
        <w:t xml:space="preserve"> de </w:t>
      </w:r>
      <w:r w:rsidR="002248AF">
        <w:rPr>
          <w:rFonts w:ascii="Times New Roman" w:hAnsi="Times New Roman"/>
          <w:b/>
          <w:sz w:val="32"/>
          <w:szCs w:val="32"/>
        </w:rPr>
        <w:t>junho</w:t>
      </w:r>
      <w:r w:rsidRPr="002F40E2">
        <w:rPr>
          <w:rFonts w:ascii="Times New Roman" w:hAnsi="Times New Roman"/>
          <w:b/>
          <w:sz w:val="32"/>
          <w:szCs w:val="32"/>
        </w:rPr>
        <w:t xml:space="preserve"> de 2015.</w:t>
      </w:r>
    </w:p>
    <w:p w:rsidR="00EA7EDC" w:rsidRPr="002F40E2" w:rsidRDefault="00EA7EDC" w:rsidP="000F78B2">
      <w:pPr>
        <w:jc w:val="center"/>
        <w:rPr>
          <w:rFonts w:ascii="Times New Roman" w:hAnsi="Times New Roman"/>
          <w:sz w:val="32"/>
          <w:szCs w:val="32"/>
        </w:rPr>
      </w:pPr>
    </w:p>
    <w:p w:rsidR="00EA7EDC" w:rsidRPr="002F40E2" w:rsidRDefault="00EA7EDC" w:rsidP="000F78B2">
      <w:pPr>
        <w:jc w:val="center"/>
        <w:rPr>
          <w:rFonts w:ascii="Times New Roman" w:hAnsi="Times New Roman"/>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Dispõe sobre as d</w:t>
      </w:r>
      <w:r w:rsidR="00BE4175">
        <w:rPr>
          <w:rFonts w:ascii="Times New Roman" w:hAnsi="Times New Roman"/>
          <w:b/>
          <w:sz w:val="32"/>
          <w:szCs w:val="32"/>
        </w:rPr>
        <w:t>iretrizes para a elaboração da L</w:t>
      </w:r>
      <w:r w:rsidRPr="002F40E2">
        <w:rPr>
          <w:rFonts w:ascii="Times New Roman" w:hAnsi="Times New Roman"/>
          <w:b/>
          <w:sz w:val="32"/>
          <w:szCs w:val="32"/>
        </w:rPr>
        <w:t xml:space="preserve">ei </w:t>
      </w:r>
      <w:r w:rsidR="00BE4175">
        <w:rPr>
          <w:rFonts w:ascii="Times New Roman" w:hAnsi="Times New Roman"/>
          <w:b/>
          <w:sz w:val="32"/>
          <w:szCs w:val="32"/>
        </w:rPr>
        <w:t>O</w:t>
      </w:r>
      <w:r w:rsidRPr="002F40E2">
        <w:rPr>
          <w:rFonts w:ascii="Times New Roman" w:hAnsi="Times New Roman"/>
          <w:b/>
          <w:sz w:val="32"/>
          <w:szCs w:val="32"/>
        </w:rPr>
        <w:t xml:space="preserve">rçamentária para </w:t>
      </w:r>
      <w:r w:rsidR="00BE4175">
        <w:rPr>
          <w:rFonts w:ascii="Times New Roman" w:hAnsi="Times New Roman"/>
          <w:b/>
          <w:sz w:val="32"/>
          <w:szCs w:val="32"/>
        </w:rPr>
        <w:t>o a</w:t>
      </w:r>
      <w:bookmarkStart w:id="0" w:name="_GoBack"/>
      <w:bookmarkEnd w:id="0"/>
      <w:r w:rsidR="00BE4175">
        <w:rPr>
          <w:rFonts w:ascii="Times New Roman" w:hAnsi="Times New Roman"/>
          <w:b/>
          <w:sz w:val="32"/>
          <w:szCs w:val="32"/>
        </w:rPr>
        <w:t xml:space="preserve">no de </w:t>
      </w:r>
      <w:r w:rsidRPr="002F40E2">
        <w:rPr>
          <w:rFonts w:ascii="Times New Roman" w:hAnsi="Times New Roman"/>
          <w:b/>
          <w:sz w:val="32"/>
          <w:szCs w:val="32"/>
        </w:rPr>
        <w:t>2016 e dá outras providências.</w:t>
      </w:r>
    </w:p>
    <w:p w:rsidR="00EA7EDC" w:rsidRPr="002F40E2" w:rsidRDefault="00EA7EDC" w:rsidP="000F78B2">
      <w:pPr>
        <w:jc w:val="center"/>
        <w:rPr>
          <w:rFonts w:ascii="Times New Roman" w:hAnsi="Times New Roman"/>
          <w:sz w:val="32"/>
          <w:szCs w:val="32"/>
        </w:rPr>
      </w:pPr>
    </w:p>
    <w:p w:rsidR="00EA7EDC" w:rsidRPr="002F40E2" w:rsidRDefault="00EA7EDC" w:rsidP="000F78B2">
      <w:pPr>
        <w:jc w:val="center"/>
        <w:rPr>
          <w:rFonts w:ascii="Times New Roman" w:hAnsi="Times New Roman"/>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Disposições Preliminares</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Art.1º.  </w:t>
      </w:r>
      <w:proofErr w:type="gramStart"/>
      <w:r w:rsidRPr="002F40E2">
        <w:rPr>
          <w:rFonts w:ascii="Times New Roman" w:hAnsi="Times New Roman"/>
          <w:sz w:val="24"/>
          <w:szCs w:val="24"/>
        </w:rPr>
        <w:t>São</w:t>
      </w:r>
      <w:proofErr w:type="gramEnd"/>
      <w:r w:rsidRPr="002F40E2">
        <w:rPr>
          <w:rFonts w:ascii="Times New Roman" w:hAnsi="Times New Roman"/>
          <w:sz w:val="24"/>
          <w:szCs w:val="24"/>
        </w:rPr>
        <w:t xml:space="preserve"> estabelecidas, em cumprimento ao disposto no artigo 165, § 2º, da Constituição da República, e na Lei Complementar nº 101, de 04 de maio de 2000, as diretrizes para a elaboração da lei orçamentária do exercício financeiro de 2016, compreendendo: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as metas e prioridades da Administração Pública Municipal;</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orientações básicas para elaboração da lei orçamentária anual;</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disposições sobre a política de pessoal e serviços extraordinários;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IV – disposições sobre a receita e alterações na legislação tributária do Município;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 – equilíbrio entre receitas e despesas;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VI – critérios e formas de limitação de empenho;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VII – normas relativas ao controle de custos e a avaliação dos resultados dos programas financiados com recursos dos orçamentos;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VIII – condições e exigências para transferências de recursos a entidades públicas e privadas;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IX – autorização para o Município auxiliar o custeio de despesas atribuídas a outros entes da federação;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X – parâmetros para a elaboração da programação financeira e do cronograma mensal de desembolso;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XI – definição de critérios para início de novos projetos;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XII – definição das despesas consideradas irrelevantes;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XIII – incentivo à participação popular;</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XIV – as disposições gerais.</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Das Metas e Prioridades da Administração Pública Municipal</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2º. Em consonância com o disposto no art. 165, § 2º, da Constituição da República, atendidas as despesas que constituem obrigação constitucional ou legal do Município, as ações relativas à manutenção e funcionamento dos órgãos da administração direta e das entidades da administração indireta, as metas e as prioridades para o exercício </w:t>
      </w:r>
      <w:r w:rsidRPr="002F40E2">
        <w:rPr>
          <w:rFonts w:ascii="Times New Roman" w:hAnsi="Times New Roman"/>
          <w:sz w:val="24"/>
          <w:szCs w:val="24"/>
        </w:rPr>
        <w:lastRenderedPageBreak/>
        <w:t>financeiro de 2016 correspondem às ações especificadas no Anexo de Metas e Prioridades que integra esta Lei, de acordo com os programas e ações estabelecidos no Plano Plurianual, as quais terão precedência na alocação de recursos na lei orçamentária de 2016 e na sua execução, não se constituindo, todavia, em limite à programação das despesas.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1º. O projeto de lei orçamentária para 2016 deverá ser elaborado em consonância com as metas e prioridades estabelecidas na forma do caput deste artigo.</w:t>
      </w:r>
    </w:p>
    <w:p w:rsidR="00FC430F" w:rsidRDefault="00FC430F"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 O projeto de lei orçamentária para 2016 conterá demonstrativo da observância das metas e prioridades estabelecidas na forma do caput deste artigo.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II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Das Orientações Básicas para Elaboração da Lei Orçamentária Anual</w:t>
      </w:r>
    </w:p>
    <w:p w:rsidR="00EA7EDC" w:rsidRPr="002F40E2" w:rsidRDefault="00EA7EDC" w:rsidP="000F78B2">
      <w:pPr>
        <w:jc w:val="center"/>
        <w:rPr>
          <w:rFonts w:ascii="Times New Roman" w:hAnsi="Times New Roman"/>
          <w:sz w:val="32"/>
          <w:szCs w:val="32"/>
        </w:rPr>
      </w:pPr>
    </w:p>
    <w:p w:rsidR="00EA7EDC" w:rsidRPr="002F40E2" w:rsidRDefault="00EA7EDC" w:rsidP="000F78B2">
      <w:pPr>
        <w:jc w:val="center"/>
        <w:rPr>
          <w:rFonts w:ascii="Times New Roman" w:hAnsi="Times New Roman"/>
          <w:sz w:val="24"/>
          <w:szCs w:val="24"/>
        </w:rPr>
      </w:pPr>
      <w:r w:rsidRPr="002F40E2">
        <w:rPr>
          <w:rFonts w:ascii="Times New Roman" w:hAnsi="Times New Roman"/>
          <w:sz w:val="24"/>
          <w:szCs w:val="24"/>
        </w:rPr>
        <w:t>Subseção I</w:t>
      </w:r>
    </w:p>
    <w:p w:rsidR="00EA7EDC" w:rsidRPr="002F40E2" w:rsidRDefault="00EA7EDC" w:rsidP="000F78B2">
      <w:pPr>
        <w:jc w:val="center"/>
        <w:rPr>
          <w:rFonts w:ascii="Times New Roman" w:hAnsi="Times New Roman"/>
          <w:sz w:val="24"/>
          <w:szCs w:val="24"/>
        </w:rPr>
      </w:pPr>
    </w:p>
    <w:p w:rsidR="00EA7EDC" w:rsidRPr="002F40E2" w:rsidRDefault="00EA7EDC" w:rsidP="000F78B2">
      <w:pPr>
        <w:jc w:val="center"/>
        <w:rPr>
          <w:rFonts w:ascii="Times New Roman" w:hAnsi="Times New Roman"/>
          <w:sz w:val="24"/>
          <w:szCs w:val="24"/>
        </w:rPr>
      </w:pPr>
      <w:r w:rsidRPr="002F40E2">
        <w:rPr>
          <w:rFonts w:ascii="Times New Roman" w:hAnsi="Times New Roman"/>
          <w:sz w:val="24"/>
          <w:szCs w:val="24"/>
        </w:rPr>
        <w:t>Das Diretrizes Gerais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3º.  As categorias de programação de que trata esta Lei serão identificadas por funções, </w:t>
      </w:r>
      <w:proofErr w:type="spellStart"/>
      <w:r w:rsidRPr="002F40E2">
        <w:rPr>
          <w:rFonts w:ascii="Times New Roman" w:hAnsi="Times New Roman"/>
          <w:sz w:val="24"/>
          <w:szCs w:val="24"/>
        </w:rPr>
        <w:t>subfunções</w:t>
      </w:r>
      <w:proofErr w:type="spellEnd"/>
      <w:r w:rsidRPr="002F40E2">
        <w:rPr>
          <w:rFonts w:ascii="Times New Roman" w:hAnsi="Times New Roman"/>
          <w:sz w:val="24"/>
          <w:szCs w:val="24"/>
        </w:rPr>
        <w:t>, programas, atividades, projetos, operações especiais, de acordo com as codificações da Portaria SOF nº 42/1999, da Portaria Interministerial STN/SOF nº 163/2001 e da Lei do Plano Plurianual.</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4º. O(s) orçamento (s) fiscal, da seguridade social e de investimentos discriminará (</w:t>
      </w:r>
      <w:proofErr w:type="spellStart"/>
      <w:r w:rsidRPr="002F40E2">
        <w:rPr>
          <w:rFonts w:ascii="Times New Roman" w:hAnsi="Times New Roman"/>
          <w:sz w:val="24"/>
          <w:szCs w:val="24"/>
        </w:rPr>
        <w:t>ão</w:t>
      </w:r>
      <w:proofErr w:type="spellEnd"/>
      <w:r w:rsidRPr="002F40E2">
        <w:rPr>
          <w:rFonts w:ascii="Times New Roman" w:hAnsi="Times New Roman"/>
          <w:sz w:val="24"/>
          <w:szCs w:val="24"/>
        </w:rPr>
        <w:t>) a despesa, no mínimo, por elemento de despesa, conforme artigo 15 da Lei nº 4.320/64.</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5º.  O(s) orçamento(s) fiscal, da seguridade social e de investimentos compreenderá (</w:t>
      </w:r>
      <w:proofErr w:type="spellStart"/>
      <w:r w:rsidRPr="002F40E2">
        <w:rPr>
          <w:rFonts w:ascii="Times New Roman" w:hAnsi="Times New Roman"/>
          <w:sz w:val="24"/>
          <w:szCs w:val="24"/>
        </w:rPr>
        <w:t>ão</w:t>
      </w:r>
      <w:proofErr w:type="spellEnd"/>
      <w:r w:rsidRPr="002F40E2">
        <w:rPr>
          <w:rFonts w:ascii="Times New Roman" w:hAnsi="Times New Roman"/>
          <w:sz w:val="24"/>
          <w:szCs w:val="24"/>
        </w:rPr>
        <w:t>) a programação dos Poderes do Município, seus fundos, órgãos, autarquias, fundações, empresas públicas dependentes, e demais entidades em que o Município, direta ou indiretamente, detenha a maioria do capital social com direito a voto e que recebam recursos do Tesouro Municipal.</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6º.  O projeto de lei orçamentária que o Poder Executivo encaminhará à Câmara Municipal será constituído de:</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texto da lei;</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documentos referenciados nos artigos 2º e 22 da Lei nº 4.320/1964;</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quadros orçamentários consolidados;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IV – anexo(s) do(s) orçamento(s) fiscal e da seguridade social, discriminando a receita e a despesa na forma definida nesta Lei;</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lastRenderedPageBreak/>
        <w:t>V – demonstrativos e documentos previstos no artigo 5º da Lei Complementar nº 101/2000;</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VI – anexo do orçamento de investimento a que se refere o artigo 165, § 5º, inciso II, da Constituição da República, na forma definida nesta Lei.</w:t>
      </w:r>
    </w:p>
    <w:p w:rsidR="00FC430F" w:rsidRDefault="00FC430F"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Acompanharão a proposta orçamentária, além dos demonstrativos exigidos pela legislação em vigor, definidos no caput, os seguintes demonstrativos:</w:t>
      </w:r>
    </w:p>
    <w:p w:rsidR="00FC430F" w:rsidRDefault="00FC430F"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Demonstrativo da receita corrente líquida, de acordo com o artigo 2º, inciso IV da Lei Complementar nº 101/2000;</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Demonstrativo dos recursos a serem aplicados na manutenção e desenvolvimento do ensino e no ensino fundamental, para fins do atendimento do disposto no artigo 212 da Constituição da República e no artigo 60 do Ato das Disposições Constitucionais Transitórias;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Demonstrativo dos recursos a serem aplicados no FUNDEB – Fundo de Manutenção e Desenvolvimento da Educação Básica e de Valorização dos profissionais da Educação, para fins do atendimento ao artigo 60 do ADCT, com as alterações introduzidas pela Emenda Constitucional nº 53/2006 e respectiva Lei nº 11.494/2007;</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IV – Demonstrativo dos recursos a </w:t>
      </w:r>
      <w:proofErr w:type="gramStart"/>
      <w:r w:rsidRPr="002F40E2">
        <w:rPr>
          <w:rFonts w:ascii="Times New Roman" w:hAnsi="Times New Roman"/>
          <w:sz w:val="24"/>
          <w:szCs w:val="24"/>
        </w:rPr>
        <w:t>serem</w:t>
      </w:r>
      <w:proofErr w:type="gramEnd"/>
      <w:r w:rsidRPr="002F40E2">
        <w:rPr>
          <w:rFonts w:ascii="Times New Roman" w:hAnsi="Times New Roman"/>
          <w:sz w:val="24"/>
          <w:szCs w:val="24"/>
        </w:rPr>
        <w:t xml:space="preserve"> aplicados nas ações e serviços públicos de saúde, para fins do atendimento disposto na Emenda Constitucional nº 29/2000;</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 – Demonstrativo da despesa com pessoal, para fins do atendimento do disposto no artigo 169 da Constituição da República e na Lei Complementar nº 101/2000.</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7º. A estimativa da receita e a fixação da despesa constantes do projeto de lei orçamentária de 2016 serão elaboradas a valores correntes do exercício de 2015, projetados ao exercício a que se refere.</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O projeto de lei orçamentária atualizará a estimativa da margem de expansão das despesas, considerando os acréscimos de receitas resultantes do crescimento da economia e da evolução de outras variáveis que impliquem aumento da base de cálculo, bem como de alterações na legislação tributária, devendo ser garantidas, no mínimo, as metas de resultado primário e nominal estabelecidas nesta Lei.</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8º. O Poder Executivo colocará à disposição do Poder Legislativo, no mínimo trinta dias antes do prazo final para encaminhamento de sua proposta orçamentária, os estudos e as estimativas das receitas para o exercício </w:t>
      </w:r>
      <w:proofErr w:type="spellStart"/>
      <w:r w:rsidRPr="002F40E2">
        <w:rPr>
          <w:rFonts w:ascii="Times New Roman" w:hAnsi="Times New Roman"/>
          <w:sz w:val="24"/>
          <w:szCs w:val="24"/>
        </w:rPr>
        <w:t>subseqüente</w:t>
      </w:r>
      <w:proofErr w:type="spellEnd"/>
      <w:r w:rsidRPr="002F40E2">
        <w:rPr>
          <w:rFonts w:ascii="Times New Roman" w:hAnsi="Times New Roman"/>
          <w:sz w:val="24"/>
          <w:szCs w:val="24"/>
        </w:rPr>
        <w:t>, inclusive da corrente líquida, e as respectivas memórias de cálculo.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Parágrafo único. </w:t>
      </w:r>
      <w:proofErr w:type="gramStart"/>
      <w:r w:rsidRPr="002F40E2">
        <w:rPr>
          <w:rFonts w:ascii="Times New Roman" w:hAnsi="Times New Roman"/>
          <w:sz w:val="24"/>
          <w:szCs w:val="24"/>
        </w:rPr>
        <w:t>As entidades da Administração Indireta e o Poder Legislativo, se for</w:t>
      </w:r>
      <w:proofErr w:type="gramEnd"/>
      <w:r w:rsidRPr="002F40E2">
        <w:rPr>
          <w:rFonts w:ascii="Times New Roman" w:hAnsi="Times New Roman"/>
          <w:sz w:val="24"/>
          <w:szCs w:val="24"/>
        </w:rPr>
        <w:t xml:space="preserve"> o caso, encaminharão ao Órgão Central de Contabilidade do Poder Executivo, até 15 dias antes do prazo definido no caput, os estudos e as estimativas das suas receitas orçamentárias para o exercício </w:t>
      </w:r>
      <w:proofErr w:type="spellStart"/>
      <w:r w:rsidRPr="002F40E2">
        <w:rPr>
          <w:rFonts w:ascii="Times New Roman" w:hAnsi="Times New Roman"/>
          <w:sz w:val="24"/>
          <w:szCs w:val="24"/>
        </w:rPr>
        <w:t>subseqüente</w:t>
      </w:r>
      <w:proofErr w:type="spellEnd"/>
      <w:r w:rsidRPr="002F40E2">
        <w:rPr>
          <w:rFonts w:ascii="Times New Roman" w:hAnsi="Times New Roman"/>
          <w:sz w:val="24"/>
          <w:szCs w:val="24"/>
        </w:rPr>
        <w:t xml:space="preserve"> e as respectivas memórias de cálculo, para fins de consolidação da receita municipal.</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lastRenderedPageBreak/>
        <w:t>Art. 9º. O Poder Legislativo encaminhará</w:t>
      </w:r>
      <w:proofErr w:type="gramStart"/>
      <w:r w:rsidRPr="002F40E2">
        <w:rPr>
          <w:rFonts w:ascii="Times New Roman" w:hAnsi="Times New Roman"/>
          <w:sz w:val="24"/>
          <w:szCs w:val="24"/>
        </w:rPr>
        <w:t xml:space="preserve">  </w:t>
      </w:r>
      <w:proofErr w:type="gramEnd"/>
      <w:r w:rsidRPr="002F40E2">
        <w:rPr>
          <w:rFonts w:ascii="Times New Roman" w:hAnsi="Times New Roman"/>
          <w:sz w:val="24"/>
          <w:szCs w:val="24"/>
        </w:rPr>
        <w:t>ao Órgão Central de Contabilidade do Poder Executivo, até 31 de agosto de 2015, suas respectivas propostas orçamentárias, para fins de consolidação do projeto de lei orçamentária.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10.  Na programação da despesa não poderão ser fixadas despesas sem que estejam definidas as respectivas fontes de recursos, de forma a evitar o comprometimento do equilíbrio orçamentário entre a receita e a despesa.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Art.11. A lei orçamentária discriminará, nos órgãos da administração direta e nas entidades da administração indireta responsáveis pelo débito, as dotações destinadas ao pagamento de precatórios judiciais em cumprimento ao disposto no artigo 100 da Constituição da República.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1º.  Para fins de acompanhamento, controle e centralização, os órgãos da administração direta e as entidades da administração indireta submeterão os processos referentes ao pagamento de precatórios à apreciação da Procuradoria do Município.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 Os recursos alocados para os fins previstos no caput deste artigo não poderão ser cancelados para abertura de créditos adicionais com outra finalidade, exceto no caso de saldo orçamentário remanescente ocioso.</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Subseção II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Das Disposições Relativas à Dívida e ao Endividamento Público Municipal</w:t>
      </w:r>
    </w:p>
    <w:p w:rsidR="00EA7EDC" w:rsidRPr="002F40E2" w:rsidRDefault="00EA7EDC" w:rsidP="000F78B2">
      <w:pPr>
        <w:jc w:val="center"/>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12 A administração da dívida pública municipal interna e/ou externa tem por objetivo principal minimizar custos, reduzir o montante da dívida pública e viabilizar fontes alternativas de recursos para o Tesouro Municipal.</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1º. Deverão ser garantidos na lei orçamentária os recursos necessários para pagamento da dívida.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 O Município, por meio de seus órgãos e entidades, subordinar-se-á às normas estabelecidas na Resolução nº 40/2001 do Senado Federal, que dispõe sobre os limites globais para o montante da dívida pública consolidada e da dívida pública mobiliária, em atendimento ao disposto no artigo 52, incisos VI e IX, da Constituição da República.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13. Na lei orçamentária para o exercício de 2016, as despesas com amortização, juros e demais encargos da dívida serão fixadas</w:t>
      </w:r>
      <w:proofErr w:type="gramStart"/>
      <w:r w:rsidRPr="002F40E2">
        <w:rPr>
          <w:rFonts w:ascii="Times New Roman" w:hAnsi="Times New Roman"/>
          <w:sz w:val="24"/>
          <w:szCs w:val="24"/>
        </w:rPr>
        <w:t xml:space="preserve">  </w:t>
      </w:r>
      <w:proofErr w:type="gramEnd"/>
      <w:r w:rsidRPr="002F40E2">
        <w:rPr>
          <w:rFonts w:ascii="Times New Roman" w:hAnsi="Times New Roman"/>
          <w:sz w:val="24"/>
          <w:szCs w:val="24"/>
        </w:rPr>
        <w:t>com  base  nas operações contratadas.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14. A lei orçamentária poderá conter autorização para contratação de operações de crédito pelo Poder Executivo, a qual ficará condicionada ao atendimento das normas estabelecidas na Lei Complementar nº 101/2000 e na Resolução nº 43/2001 do Senado Federal.</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15. A lei orçamentária poderá conter autorização para a realização de operações de crédito por antecipação de receita orçamentária, desde que observado o disposto no artigo 38 da Lei Complementar nº 101/2000 e atendidas </w:t>
      </w:r>
      <w:proofErr w:type="gramStart"/>
      <w:r w:rsidRPr="002F40E2">
        <w:rPr>
          <w:rFonts w:ascii="Times New Roman" w:hAnsi="Times New Roman"/>
          <w:sz w:val="24"/>
          <w:szCs w:val="24"/>
        </w:rPr>
        <w:t>as</w:t>
      </w:r>
      <w:proofErr w:type="gramEnd"/>
      <w:r w:rsidRPr="002F40E2">
        <w:rPr>
          <w:rFonts w:ascii="Times New Roman" w:hAnsi="Times New Roman"/>
          <w:sz w:val="24"/>
          <w:szCs w:val="24"/>
        </w:rPr>
        <w:t xml:space="preserve"> exigências estabelecidas na Resolução nº 43/2001 do Senado Federal.</w:t>
      </w:r>
    </w:p>
    <w:p w:rsidR="00EA7EDC" w:rsidRPr="002F40E2" w:rsidRDefault="00EA7EDC" w:rsidP="00EA7EDC">
      <w:pPr>
        <w:jc w:val="both"/>
        <w:rPr>
          <w:rFonts w:ascii="Times New Roman" w:hAnsi="Times New Roman"/>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Subseção III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 Definição de Montante e Forma de Utilização da Reserva de Contingência</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16.  A lei orçamentária conterá reserva de contingência constituída exclusivamente com recursos do orçamento fiscal e será equivalente a, no máximo, 1% (um por cento) da receita corrente líquida prevista na proposta orçamentária para 2016, destinada ao atendimento de passivos contingentes, outros riscos e eventos fiscais imprevistos e reforço das dotações orçamentárias que se tornarem insuficientes.   </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III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 Política de Pessoal e dos Serviços Extraordinários</w:t>
      </w:r>
    </w:p>
    <w:p w:rsidR="00EA7EDC" w:rsidRPr="002F40E2" w:rsidRDefault="00EA7EDC" w:rsidP="000F78B2">
      <w:pPr>
        <w:jc w:val="center"/>
        <w:rPr>
          <w:rFonts w:ascii="Times New Roman" w:hAnsi="Times New Roman"/>
          <w:b/>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Subseção 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Das Disposições Sobre Política de Pessoal e Encargos Sociais</w:t>
      </w:r>
    </w:p>
    <w:p w:rsidR="00EA7EDC" w:rsidRPr="002F40E2" w:rsidRDefault="00EA7EDC" w:rsidP="00EA7EDC">
      <w:pPr>
        <w:jc w:val="both"/>
        <w:rPr>
          <w:rFonts w:ascii="Times New Roman" w:hAnsi="Times New Roman"/>
          <w:b/>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17.  Para fins de atendimento ao disposto no artigo 169, § 1º, inciso II, da Constituição da República, observado o inciso I do mesmo parágrafo, </w:t>
      </w:r>
      <w:proofErr w:type="gramStart"/>
      <w:r w:rsidRPr="002F40E2">
        <w:rPr>
          <w:rFonts w:ascii="Times New Roman" w:hAnsi="Times New Roman"/>
          <w:sz w:val="24"/>
          <w:szCs w:val="24"/>
        </w:rPr>
        <w:t>ficam</w:t>
      </w:r>
      <w:proofErr w:type="gramEnd"/>
      <w:r w:rsidRPr="002F40E2">
        <w:rPr>
          <w:rFonts w:ascii="Times New Roman" w:hAnsi="Times New Roman"/>
          <w:sz w:val="24"/>
          <w:szCs w:val="24"/>
        </w:rPr>
        <w:t xml:space="preserve"> autorizadas as concessões de quaisquer vantagens, aumentos de remuneração, criação de cargos, empregos e funções, alterações de estrutura de carreiras, bem como admissões ou contratações de pessoal a qualquer título, desde que observado o disposto nos artigos 15, 16 e 17 da Lei Complementar nº 101/2000.</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1º. Além de observar as normas do caput, no exercício financeiro de 2016, as despesas com pessoal dos Poderes Executivo e Legislativo deverão atender as disposições contidas nos artigos 18, 19 e 20 da Lei Complementar nº 101/2000.</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 Se a despesa total com pessoal ultrapassar os limites estabelecidos no artigo 19 da Lei Complementar nº 101/2000, serão adotadas as medidas de que tratam os §§ 3º e 4º do artigo 169 da Constituição da República.</w:t>
      </w:r>
    </w:p>
    <w:p w:rsidR="00EA7EDC" w:rsidRPr="002F40E2" w:rsidRDefault="00EA7EDC" w:rsidP="00EA7EDC">
      <w:pPr>
        <w:jc w:val="both"/>
        <w:rPr>
          <w:rFonts w:ascii="Times New Roman" w:hAnsi="Times New Roman"/>
          <w:sz w:val="24"/>
          <w:szCs w:val="24"/>
        </w:rPr>
      </w:pPr>
    </w:p>
    <w:p w:rsidR="00FC430F" w:rsidRDefault="00FC430F">
      <w:pPr>
        <w:spacing w:after="200" w:line="276" w:lineRule="auto"/>
        <w:rPr>
          <w:rFonts w:ascii="Times New Roman" w:hAnsi="Times New Roman"/>
          <w:b/>
          <w:sz w:val="32"/>
          <w:szCs w:val="32"/>
        </w:rPr>
      </w:pPr>
      <w:r>
        <w:rPr>
          <w:rFonts w:ascii="Times New Roman" w:hAnsi="Times New Roman"/>
          <w:b/>
          <w:sz w:val="32"/>
          <w:szCs w:val="32"/>
        </w:rPr>
        <w:br w:type="page"/>
      </w: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lastRenderedPageBreak/>
        <w:t>Subseção II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 Previsão para Contratação Excepcional de Horas Extras</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18.  Se durante o exercício de 2016 a despesa com pessoal atingir o limite de que trata o parágrafo único do artigo 22 da Lei Complementar nº 101/2000, o pagamento da realização de serviço extraordinário somente poderá ocorrer quando destinada ao atendimento de relevante interesse público que enseje situações emergenciais de risco ou de prejuízo para a sociedade.</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A autorização para a realização de serviço extraordinário para atender as situações previstas no caput deste artigo no âmbito do Poder Executivo é de exclusiva competência do Prefeito Municipal e no âmbito do Poder Legislativo é de exclusiva competência do Presidente da Câmara.</w:t>
      </w:r>
    </w:p>
    <w:p w:rsidR="00EA7EDC" w:rsidRPr="002F40E2" w:rsidRDefault="00EA7EDC" w:rsidP="00EA7EDC">
      <w:pPr>
        <w:jc w:val="both"/>
        <w:rPr>
          <w:rFonts w:ascii="Times New Roman" w:hAnsi="Times New Roman"/>
          <w:b/>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IV</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Das Disposições Sobre a Receita e Alterações na Legislação Tributária do Município</w:t>
      </w:r>
    </w:p>
    <w:p w:rsidR="00EA7EDC" w:rsidRPr="002F40E2" w:rsidRDefault="00EA7EDC" w:rsidP="000F78B2">
      <w:pPr>
        <w:jc w:val="center"/>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19. A estimativa da receita que constará do projeto de lei orçamentária para o exercício de 2016, com vistas à expansão da base tributária e </w:t>
      </w:r>
      <w:proofErr w:type="spellStart"/>
      <w:r w:rsidRPr="002F40E2">
        <w:rPr>
          <w:rFonts w:ascii="Times New Roman" w:hAnsi="Times New Roman"/>
          <w:sz w:val="24"/>
          <w:szCs w:val="24"/>
        </w:rPr>
        <w:t>conseqüente</w:t>
      </w:r>
      <w:proofErr w:type="spellEnd"/>
      <w:r w:rsidRPr="002F40E2">
        <w:rPr>
          <w:rFonts w:ascii="Times New Roman" w:hAnsi="Times New Roman"/>
          <w:sz w:val="24"/>
          <w:szCs w:val="24"/>
        </w:rPr>
        <w:t xml:space="preserve"> aumento das receitas próprias, contemplará medidas de aperfeiçoamento da administração dos tributos municipais, dentre as quais: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I – aperfeiçoamento do sistema de formação, tramitação e julgamento dos processos tributário-administrativos, visando à racionalização, simplificação e </w:t>
      </w:r>
      <w:proofErr w:type="gramStart"/>
      <w:r w:rsidRPr="002F40E2">
        <w:rPr>
          <w:rFonts w:ascii="Times New Roman" w:hAnsi="Times New Roman"/>
          <w:sz w:val="24"/>
          <w:szCs w:val="24"/>
        </w:rPr>
        <w:t>agilização</w:t>
      </w:r>
      <w:proofErr w:type="gramEnd"/>
      <w:r w:rsidRPr="002F40E2">
        <w:rPr>
          <w:rFonts w:ascii="Times New Roman" w:hAnsi="Times New Roman"/>
          <w:sz w:val="24"/>
          <w:szCs w:val="24"/>
        </w:rPr>
        <w:t>;</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aperfeiçoamento dos sistemas de fiscalização, cobrança e arrecadação de tributos, objetivando a sua maior exatidão;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aperfeiçoamento dos processos tributário-administrativos, por meio da revisão e racionalização das rotinas e processos, objetivando a modernização, a padronização de atividades, a melhoria dos controles internos e a eficiência na prestação de serviços;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IV – aplicação das penalidades fiscais como instrumento inibitório da prática de infração da legislação tributária.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Art. 20. A estimativa da receita de que trata o artigo anterior levará em consideração, adicionalmente, o impacto de alteração na legislação tributária, com destaque para: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atualização da planta genérica de valores do Município;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revisão, atualização ou adequação da legislação sobre Imposto Predial e Territorial Urbano, suas alíquotas, forma de cálculo, condições de pagamentos, descontos e isenções, inclusive com relação à progressividade deste imposto;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revisão da legislação sobre o uso do solo, com redefinição dos limites da zona urbana municipal;</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lastRenderedPageBreak/>
        <w:t>IV – revisão da legislação referente ao Imposto Sobre Serviços de Qualquer Natureza;</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V – revisão da legislação aplicável ao Imposto sobre Transmissão </w:t>
      </w:r>
      <w:proofErr w:type="spellStart"/>
      <w:r w:rsidRPr="002F40E2">
        <w:rPr>
          <w:rFonts w:ascii="Times New Roman" w:hAnsi="Times New Roman"/>
          <w:sz w:val="24"/>
          <w:szCs w:val="24"/>
        </w:rPr>
        <w:t>Intervivos</w:t>
      </w:r>
      <w:proofErr w:type="spellEnd"/>
      <w:r w:rsidRPr="002F40E2">
        <w:rPr>
          <w:rFonts w:ascii="Times New Roman" w:hAnsi="Times New Roman"/>
          <w:sz w:val="24"/>
          <w:szCs w:val="24"/>
        </w:rPr>
        <w:t xml:space="preserve"> de Bens Imóveis e de Direitos Reais sobre Imóveis;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VI – instituição de taxas pela utilização efetiva ou potencial de serviços públicos específicos e divisíveis, prestados ao contribuinte ou postos à sua disposição;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VII – revisão da legislação sobre as taxas pelo exercício do poder de polícia;</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VIII – revisão das isenções dos tributos municipais objetivando atender o interesse público e a justiça fiscal;</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IX – instituição, por lei específica, da Contribuição de Melhoria com a finalidade de tornar </w:t>
      </w:r>
      <w:proofErr w:type="spellStart"/>
      <w:r w:rsidRPr="002F40E2">
        <w:rPr>
          <w:rFonts w:ascii="Times New Roman" w:hAnsi="Times New Roman"/>
          <w:sz w:val="24"/>
          <w:szCs w:val="24"/>
        </w:rPr>
        <w:t>exeqüível</w:t>
      </w:r>
      <w:proofErr w:type="spellEnd"/>
      <w:r w:rsidRPr="002F40E2">
        <w:rPr>
          <w:rFonts w:ascii="Times New Roman" w:hAnsi="Times New Roman"/>
          <w:sz w:val="24"/>
          <w:szCs w:val="24"/>
        </w:rPr>
        <w:t xml:space="preserve"> a sua cobrança;</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X – a instituição de novos tributos ou a modificação em decorrência de alterações legais daqueles já instituídos.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21. O projeto de lei que conceda ou amplie incentivo ou benefício de natureza tributária somente será aprovado se atendidas </w:t>
      </w:r>
      <w:proofErr w:type="gramStart"/>
      <w:r w:rsidRPr="002F40E2">
        <w:rPr>
          <w:rFonts w:ascii="Times New Roman" w:hAnsi="Times New Roman"/>
          <w:sz w:val="24"/>
          <w:szCs w:val="24"/>
        </w:rPr>
        <w:t>as</w:t>
      </w:r>
      <w:proofErr w:type="gramEnd"/>
      <w:r w:rsidRPr="002F40E2">
        <w:rPr>
          <w:rFonts w:ascii="Times New Roman" w:hAnsi="Times New Roman"/>
          <w:sz w:val="24"/>
          <w:szCs w:val="24"/>
        </w:rPr>
        <w:t xml:space="preserve"> exigências do artigo 14 da Lei Complementar nº 101/2000.</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22. Na estimativa das receitas do projeto de lei orçamentária poderão ser considerados os efeitos de propostas de alterações na legislação tributária que estejam em tramitação na Câmara Municipal.</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1º. Caso as alterações propostas não sejam aprovadas, ou o sejam parcialmente, de forma a não permitir a integralização dos recursos esperados, as dotações à conta das referidas receitas serão canceladas, mediante decreto, nos 30 (trinta) dias </w:t>
      </w:r>
      <w:proofErr w:type="spellStart"/>
      <w:r w:rsidRPr="002F40E2">
        <w:rPr>
          <w:rFonts w:ascii="Times New Roman" w:hAnsi="Times New Roman"/>
          <w:sz w:val="24"/>
          <w:szCs w:val="24"/>
        </w:rPr>
        <w:t>subseqüentes</w:t>
      </w:r>
      <w:proofErr w:type="spellEnd"/>
      <w:r w:rsidRPr="002F40E2">
        <w:rPr>
          <w:rFonts w:ascii="Times New Roman" w:hAnsi="Times New Roman"/>
          <w:sz w:val="24"/>
          <w:szCs w:val="24"/>
        </w:rPr>
        <w:t xml:space="preserve"> à publicação do projeto de lei orçamentária de 2016.</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2º. No caso de </w:t>
      </w:r>
      <w:proofErr w:type="gramStart"/>
      <w:r w:rsidRPr="002F40E2">
        <w:rPr>
          <w:rFonts w:ascii="Times New Roman" w:hAnsi="Times New Roman"/>
          <w:sz w:val="24"/>
          <w:szCs w:val="24"/>
        </w:rPr>
        <w:t>não-aprovação</w:t>
      </w:r>
      <w:proofErr w:type="gramEnd"/>
      <w:r w:rsidRPr="002F40E2">
        <w:rPr>
          <w:rFonts w:ascii="Times New Roman" w:hAnsi="Times New Roman"/>
          <w:sz w:val="24"/>
          <w:szCs w:val="24"/>
        </w:rPr>
        <w:t xml:space="preserve"> das propostas de alteração previstas no caput, poderá ser efetuada a substituição das fontes condicionadas por excesso de arrecadação de outras fontes, inclusive de operações de crédito, ou por superávit financeiro apurado em balanço patrimonial do exercício anterior, antes do cancelamento previsto no § 1º deste artigo.</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V</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Do Equilíbrio Entre Receitas e Despesas</w:t>
      </w:r>
    </w:p>
    <w:p w:rsidR="00EA7EDC" w:rsidRPr="002F40E2" w:rsidRDefault="00EA7EDC" w:rsidP="00EA7EDC">
      <w:pPr>
        <w:jc w:val="both"/>
        <w:rPr>
          <w:rFonts w:ascii="Times New Roman" w:hAnsi="Times New Roman"/>
          <w:b/>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23. A elaboração do projeto, a aprovação e a execução da lei orçamentária do exercício de 2016 serão orientadas no sentido de alcançar o superávit primário necessário para garantir uma trajetória de solidez financeira da administração municipal, conforme discriminado no Anexo de Metas Fiscais constante desta Lei.</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24. Os projetos de lei que impliquem em diminuição de receita ou aumento de despesa do Município no exercício de 2016 deverão estar acompanhados de demonstrativos que discriminem o montante estimado da diminuição da receita ou do aumento da despesa, para cada um dos exercícios compreendidos no período de 2016 a 2017, demonstrando a memória de cálculo respectiva.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Não será aprovado projeto de lei que implique em aumento de despesa sem que esteja acompanhado das medidas definidas nos artigos 16 e 17 da Lei Complementar nº 101/2000.</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25. As estratégias para busca ou manutenção do equilíbrio entre as receitas e despesas poderão levar em conta as seguintes medidas: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I – para elevação das receitas: </w:t>
      </w:r>
    </w:p>
    <w:p w:rsidR="00FC430F" w:rsidRDefault="00FC430F"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proofErr w:type="gramStart"/>
      <w:r w:rsidRPr="002F40E2">
        <w:rPr>
          <w:rFonts w:ascii="Times New Roman" w:hAnsi="Times New Roman"/>
          <w:sz w:val="24"/>
          <w:szCs w:val="24"/>
        </w:rPr>
        <w:t>a</w:t>
      </w:r>
      <w:proofErr w:type="gramEnd"/>
      <w:r w:rsidRPr="002F40E2">
        <w:rPr>
          <w:rFonts w:ascii="Times New Roman" w:hAnsi="Times New Roman"/>
          <w:sz w:val="24"/>
          <w:szCs w:val="24"/>
        </w:rPr>
        <w:t xml:space="preserve"> – a implementação das medidas previstas nos artigos 20 e 21 desta Lei;</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b – atualização e informatização do cadastro imobiliário;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c – chamamento geral dos contribuintes inscritos na Dívida Ativa.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para redução das despesas:</w:t>
      </w:r>
    </w:p>
    <w:p w:rsidR="00FC430F" w:rsidRDefault="00FC430F"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proofErr w:type="gramStart"/>
      <w:r w:rsidRPr="002F40E2">
        <w:rPr>
          <w:rFonts w:ascii="Times New Roman" w:hAnsi="Times New Roman"/>
          <w:sz w:val="24"/>
          <w:szCs w:val="24"/>
        </w:rPr>
        <w:t>a</w:t>
      </w:r>
      <w:proofErr w:type="gramEnd"/>
      <w:r w:rsidRPr="002F40E2">
        <w:rPr>
          <w:rFonts w:ascii="Times New Roman" w:hAnsi="Times New Roman"/>
          <w:sz w:val="24"/>
          <w:szCs w:val="24"/>
        </w:rPr>
        <w:t xml:space="preserve"> – utilização da modalidade de licitação denominada pregão e implantação de rigorosa pesquisa de preços, de forma a reduzir custos de toda e qualquer compra e evitar a cartelização dos fornecedores;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b – revisão geral das gratificações concedidas aos servidores.</w:t>
      </w:r>
    </w:p>
    <w:p w:rsidR="00EA7EDC" w:rsidRPr="002F40E2" w:rsidRDefault="00EA7EDC" w:rsidP="00EA7EDC">
      <w:pPr>
        <w:jc w:val="both"/>
        <w:rPr>
          <w:rFonts w:ascii="Times New Roman" w:hAnsi="Times New Roman"/>
          <w:b/>
          <w:sz w:val="24"/>
          <w:szCs w:val="24"/>
        </w:rPr>
      </w:pPr>
    </w:p>
    <w:p w:rsidR="00EA7EDC" w:rsidRPr="002F40E2" w:rsidRDefault="00EA7EDC" w:rsidP="000F78B2">
      <w:pPr>
        <w:jc w:val="center"/>
        <w:rPr>
          <w:rFonts w:ascii="Times New Roman" w:hAnsi="Times New Roman"/>
          <w:b/>
          <w:sz w:val="32"/>
          <w:szCs w:val="32"/>
        </w:rPr>
      </w:pPr>
      <w:proofErr w:type="gramStart"/>
      <w:r w:rsidRPr="002F40E2">
        <w:rPr>
          <w:rFonts w:ascii="Times New Roman" w:hAnsi="Times New Roman"/>
          <w:b/>
          <w:sz w:val="32"/>
          <w:szCs w:val="32"/>
        </w:rPr>
        <w:t>Seção VI</w:t>
      </w:r>
      <w:proofErr w:type="gramEnd"/>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Dos Critérios e Formas de Limitação de Empenho</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26. Na hipótese de ocorrência das circunstâncias estabelecidas no caput do artigo 9º e no inciso II do § 1º do artigo 31 da Lei Complementar nº 101/2000, o Poder Executivo e o Poder Legislativo procederão à respectiva limitação de empenho e de movimentação financeira, calculada de forma proporcional à participação dos Poderes no total das dotações iniciais constantes da lei orçamentária de 2016, utilizando para tal fim as cotas orçamentárias e financeiras.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1º.  Excluem-se da limitação prevista no caput deste artigo: </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as despesas com pessoal e encargos sociais;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as despesas com benefícios previdenciários;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as despesas com amortização, juros e encargos da dívida;</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IV – as despesas com PASEP;</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 – as despesas com o pagamento de precatórios e sentenças judiciais;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VI – as demais despesas que constituam obrigação constitucional e legal.</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 O Poder Executivo comunicará ao Poder Legislativo o montante que lhe caberá tornar indisponível para empenho e movimentação financeira, conforme proporção estabelecida no caput deste artigo.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lastRenderedPageBreak/>
        <w:t>§ 3º. Os Poderes Executivo e Legislativo, com base na comunicação de que trata o parágrafo anterior, emitirão e publicarão ato próprio estabelecendo os montantes que caberão aos respectivos órgãos e entidades na limitação do empenho e da movimentação financeira.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4º. Se verificado, ao final de um bimestre, que a realização da receita não será suficiente para garantir o equilíbrio das contas públicas, adotar-se-ão as mesmas medidas previstas neste artigo.</w:t>
      </w:r>
    </w:p>
    <w:p w:rsidR="00EA7EDC" w:rsidRPr="002F40E2" w:rsidRDefault="00EA7EDC" w:rsidP="00EA7EDC">
      <w:pPr>
        <w:jc w:val="both"/>
        <w:rPr>
          <w:rFonts w:ascii="Times New Roman" w:hAnsi="Times New Roman"/>
          <w:b/>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VII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Das Normas Relativas ao Controle de Custos e Avaliação dos Resultados dos Programas Financiados com Recursos dos Orçamentos</w:t>
      </w:r>
    </w:p>
    <w:p w:rsidR="00EA7EDC" w:rsidRPr="002F40E2" w:rsidRDefault="00EA7EDC" w:rsidP="000F78B2">
      <w:pPr>
        <w:jc w:val="center"/>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27.  O Poder Executivo realizará estudos visando </w:t>
      </w:r>
      <w:proofErr w:type="gramStart"/>
      <w:r w:rsidRPr="002F40E2">
        <w:rPr>
          <w:rFonts w:ascii="Times New Roman" w:hAnsi="Times New Roman"/>
          <w:sz w:val="24"/>
          <w:szCs w:val="24"/>
        </w:rPr>
        <w:t>a</w:t>
      </w:r>
      <w:proofErr w:type="gramEnd"/>
      <w:r w:rsidRPr="002F40E2">
        <w:rPr>
          <w:rFonts w:ascii="Times New Roman" w:hAnsi="Times New Roman"/>
          <w:sz w:val="24"/>
          <w:szCs w:val="24"/>
        </w:rPr>
        <w:t xml:space="preserve"> definição de sistema de controle de custos e a avaliação do resultado dos programas de governo.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28. Além de observar as demais diretrizes estabelecidas nesta Lei, </w:t>
      </w:r>
      <w:proofErr w:type="gramStart"/>
      <w:r w:rsidRPr="002F40E2">
        <w:rPr>
          <w:rFonts w:ascii="Times New Roman" w:hAnsi="Times New Roman"/>
          <w:sz w:val="24"/>
          <w:szCs w:val="24"/>
        </w:rPr>
        <w:t>a</w:t>
      </w:r>
      <w:proofErr w:type="gramEnd"/>
      <w:r w:rsidRPr="002F40E2">
        <w:rPr>
          <w:rFonts w:ascii="Times New Roman" w:hAnsi="Times New Roman"/>
          <w:sz w:val="24"/>
          <w:szCs w:val="24"/>
        </w:rPr>
        <w:t xml:space="preserve"> alocação dos recursos na lei orçamentária e em seus créditos adicionais, bem como a respectiva execução, serão feitas de forma a propiciar o controle de custos e a avaliação dos resultados dos programas de governo.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1º. A lei orçamentária para 2016 e seus créditos adicionais deverão agregar todas as ações governamentais necessárias ao cumprimento dos objetivos dos respectivos programas, sendo que as ações governamentais que não contribuírem para a realização de um programa específico deverão ser agregadas num programa denominado “Apoio Administrativo” ou de finalidade semelhante.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 Merecerá destaque o aprimoramento da gestão orçamentária, financeira e patrimonial, por intermédio da modernização dos instrumentos de planejamento, execução, avaliação e controle interno.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3º. O Poder Executivo promoverá amplo esforço de redução de</w:t>
      </w:r>
      <w:proofErr w:type="gramStart"/>
      <w:r w:rsidRPr="002F40E2">
        <w:rPr>
          <w:rFonts w:ascii="Times New Roman" w:hAnsi="Times New Roman"/>
          <w:sz w:val="24"/>
          <w:szCs w:val="24"/>
        </w:rPr>
        <w:t xml:space="preserve">  </w:t>
      </w:r>
      <w:proofErr w:type="gramEnd"/>
      <w:r w:rsidRPr="002F40E2">
        <w:rPr>
          <w:rFonts w:ascii="Times New Roman" w:hAnsi="Times New Roman"/>
          <w:sz w:val="24"/>
          <w:szCs w:val="24"/>
        </w:rPr>
        <w:t xml:space="preserve">custos, otimização de gastos e </w:t>
      </w:r>
      <w:proofErr w:type="spellStart"/>
      <w:r w:rsidRPr="002F40E2">
        <w:rPr>
          <w:rFonts w:ascii="Times New Roman" w:hAnsi="Times New Roman"/>
          <w:sz w:val="24"/>
          <w:szCs w:val="24"/>
        </w:rPr>
        <w:t>re-ordenamento</w:t>
      </w:r>
      <w:proofErr w:type="spellEnd"/>
      <w:r w:rsidRPr="002F40E2">
        <w:rPr>
          <w:rFonts w:ascii="Times New Roman" w:hAnsi="Times New Roman"/>
          <w:sz w:val="24"/>
          <w:szCs w:val="24"/>
        </w:rPr>
        <w:t xml:space="preserve"> de despesas do setor  público municipal, sobretudo pelo aumento da produtividade na prestação  de serviços públicos e sociais.</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VIII</w:t>
      </w:r>
    </w:p>
    <w:p w:rsidR="00EA7EDC" w:rsidRPr="002F40E2" w:rsidRDefault="00EA7EDC" w:rsidP="000F78B2">
      <w:pPr>
        <w:jc w:val="center"/>
        <w:rPr>
          <w:rFonts w:ascii="Times New Roman" w:hAnsi="Times New Roman"/>
          <w:b/>
          <w:color w:val="FF0000"/>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Das Condições e Exigências para Transferências de Recursos a Entidades Públicas e Privadas</w:t>
      </w:r>
    </w:p>
    <w:p w:rsidR="00EA7EDC" w:rsidRPr="002F40E2" w:rsidRDefault="00EA7EDC" w:rsidP="00EA7EDC">
      <w:pPr>
        <w:jc w:val="both"/>
        <w:rPr>
          <w:rFonts w:ascii="Times New Roman" w:hAnsi="Times New Roman"/>
          <w:b/>
          <w:color w:val="FF0000"/>
          <w:sz w:val="24"/>
          <w:szCs w:val="24"/>
          <w:highlight w:val="yellow"/>
        </w:rPr>
      </w:pPr>
    </w:p>
    <w:p w:rsidR="00EA7EDC" w:rsidRPr="002F40E2" w:rsidRDefault="00EA7EDC" w:rsidP="00EA7EDC">
      <w:pPr>
        <w:jc w:val="both"/>
        <w:rPr>
          <w:rFonts w:ascii="Times New Roman" w:hAnsi="Times New Roman"/>
          <w:b/>
          <w:color w:val="FF0000"/>
          <w:sz w:val="24"/>
          <w:szCs w:val="24"/>
          <w:highlight w:val="yellow"/>
        </w:rPr>
      </w:pPr>
    </w:p>
    <w:p w:rsidR="00EA7EDC" w:rsidRPr="002F40E2" w:rsidRDefault="00EA7EDC" w:rsidP="00EA7EDC">
      <w:pPr>
        <w:jc w:val="both"/>
        <w:rPr>
          <w:rFonts w:ascii="Times New Roman" w:hAnsi="Times New Roman"/>
          <w:b/>
          <w:sz w:val="24"/>
          <w:szCs w:val="24"/>
        </w:rPr>
      </w:pPr>
      <w:r w:rsidRPr="002F40E2">
        <w:rPr>
          <w:rFonts w:ascii="Times New Roman" w:hAnsi="Times New Roman"/>
          <w:sz w:val="24"/>
          <w:szCs w:val="24"/>
        </w:rPr>
        <w:lastRenderedPageBreak/>
        <w:t xml:space="preserve">Art. 29 – Fica o Poder Executivo autorizado a celebrar parcerias voluntárias, envolvendo ou não transferências de recursos financeiros, nos termos da </w:t>
      </w:r>
      <w:r w:rsidRPr="002F40E2">
        <w:rPr>
          <w:rFonts w:ascii="Times New Roman" w:hAnsi="Times New Roman"/>
          <w:b/>
          <w:sz w:val="24"/>
          <w:szCs w:val="24"/>
        </w:rPr>
        <w:t xml:space="preserve">Lei Federal nº 13.019 de 31 de julho de 2014. </w:t>
      </w:r>
    </w:p>
    <w:p w:rsidR="00EA7EDC" w:rsidRPr="002F40E2" w:rsidRDefault="00EA7EDC" w:rsidP="00EA7EDC">
      <w:pPr>
        <w:jc w:val="both"/>
        <w:rPr>
          <w:rFonts w:ascii="Times New Roman" w:hAnsi="Times New Roman"/>
          <w:sz w:val="24"/>
          <w:szCs w:val="24"/>
          <w:highlight w:val="yellow"/>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30. É vedada a inclusão na lei orçamentária e em seus créditos adicionais de dotações a título de subvenções sociais, ressalvadas as autorizadas mediante lei específica que sejam destinadas: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às entidades que prestem atendimento direto ao público, de forma gratuita, nas áreas de assistência social, saúde, educação, cultura, agropecuária e de proteção ao meio ambiente;</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às entidades sem fins lucrativos que realizem atividades de natureza continuada;</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III – às entidades que tenham sido declaradas por lei como de utilidade pública. </w:t>
      </w:r>
    </w:p>
    <w:p w:rsidR="00FC430F" w:rsidRDefault="00FC430F"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Para habilitar-se ao recebimento de subvenções sociais, a entidade privada sem fins lucrativos deverá apresentar declaração de regular funcionamento, emitida no exercício de 2016 por, no mínimo, uma autoridade local, e comprovante da regularidade do mandato de sua diretoria, observadas inclusive as normas gerais para transferências voluntárias previstas pela Lei 13.019/2014.</w:t>
      </w:r>
    </w:p>
    <w:p w:rsidR="00EA7EDC" w:rsidRPr="002F40E2" w:rsidRDefault="00EA7EDC" w:rsidP="00EA7EDC">
      <w:pPr>
        <w:jc w:val="both"/>
        <w:rPr>
          <w:rFonts w:ascii="Times New Roman" w:hAnsi="Times New Roman"/>
          <w:sz w:val="24"/>
          <w:szCs w:val="24"/>
          <w:highlight w:val="yellow"/>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31. É vedada a inclusão na lei orçamentária e em seus créditos adicionais de dotações a título de auxílios e contribuições para entidades públicas e/ou privadas, ressalvadas as autorizadas mediante lei específica e desde que sejam:</w:t>
      </w:r>
    </w:p>
    <w:p w:rsidR="00EA7EDC" w:rsidRPr="002F40E2" w:rsidRDefault="00EA7EDC" w:rsidP="00EA7EDC">
      <w:pPr>
        <w:jc w:val="both"/>
        <w:rPr>
          <w:rFonts w:ascii="Times New Roman" w:hAnsi="Times New Roman"/>
          <w:sz w:val="24"/>
          <w:szCs w:val="24"/>
          <w:highlight w:val="yellow"/>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de atendimento direto e gratuito ao público, voltadas para as ações relativas ao ensino, saúde, cultura, assistência social, agropecuária e de proteção ao meio ambiente;</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associações ou consórcios intermunicipais, constituídos exclusivamente por entes públicos, legalmente instituídos e signatários de contrato de gestão com a administração pública municipal e que participem da execução de programas municipais.</w:t>
      </w:r>
    </w:p>
    <w:p w:rsidR="00EA7EDC" w:rsidRPr="002F40E2" w:rsidRDefault="00EA7EDC" w:rsidP="00EA7EDC">
      <w:pPr>
        <w:jc w:val="both"/>
        <w:rPr>
          <w:rFonts w:ascii="Times New Roman" w:hAnsi="Times New Roman"/>
          <w:sz w:val="24"/>
          <w:szCs w:val="24"/>
          <w:highlight w:val="yellow"/>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32. É vedada a inclusão na lei orçamentária e em seus créditos adicionais de dotações a título de contribuições para entidades privadas de fins lucrativos, ressalvadas as instituídas por lei específica, no âmbito do Município que sejam destinadas aos programas de desenvolvimento industrial.</w:t>
      </w:r>
    </w:p>
    <w:p w:rsidR="00EA7EDC" w:rsidRPr="002F40E2" w:rsidRDefault="00EA7EDC" w:rsidP="00EA7EDC">
      <w:pPr>
        <w:jc w:val="both"/>
        <w:rPr>
          <w:rFonts w:ascii="Times New Roman" w:hAnsi="Times New Roman"/>
          <w:sz w:val="24"/>
          <w:szCs w:val="24"/>
          <w:highlight w:val="yellow"/>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33. É vedada a inclusão, na lei orçamentária e em seus créditos adicionais, de dotação para a realização de transferência financeira a outro ente da federação, exceto para atender as situações que envolvam claramente ao </w:t>
      </w:r>
      <w:proofErr w:type="gramStart"/>
      <w:r w:rsidRPr="002F40E2">
        <w:rPr>
          <w:rFonts w:ascii="Times New Roman" w:hAnsi="Times New Roman"/>
          <w:sz w:val="24"/>
          <w:szCs w:val="24"/>
        </w:rPr>
        <w:t>atendimento de interesses locais observadas</w:t>
      </w:r>
      <w:proofErr w:type="gramEnd"/>
      <w:r w:rsidRPr="002F40E2">
        <w:rPr>
          <w:rFonts w:ascii="Times New Roman" w:hAnsi="Times New Roman"/>
          <w:sz w:val="24"/>
          <w:szCs w:val="24"/>
        </w:rPr>
        <w:t xml:space="preserve"> as exigências do artigo 25 da Lei Complementar nº 101/2000.</w:t>
      </w:r>
    </w:p>
    <w:p w:rsidR="00EA7EDC" w:rsidRPr="002F40E2" w:rsidRDefault="00EA7EDC" w:rsidP="00EA7EDC">
      <w:pPr>
        <w:jc w:val="both"/>
        <w:rPr>
          <w:rFonts w:ascii="Times New Roman" w:hAnsi="Times New Roman"/>
          <w:sz w:val="24"/>
          <w:szCs w:val="24"/>
          <w:highlight w:val="yellow"/>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34. As entidades beneficiadas com os recursos públicos previstos nesta Seção, a qualquer título, submeter-se-ão à fiscalização do Poder Executivo com a finalidade de verificar o cumprimento dos objetivos para os quais receberam os recursos.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 Compete ao Controle Interno, sem prejuízo dos demais responsáveis, apontar eventuais irregularidades e exigir o saneamento das mesmas, ou, o bloqueio dos recursos a serem repassados enquanto as irregularidades não forem saneadas.</w:t>
      </w:r>
    </w:p>
    <w:p w:rsidR="00EA7EDC" w:rsidRPr="002F40E2" w:rsidRDefault="00EA7EDC" w:rsidP="00EA7EDC">
      <w:pPr>
        <w:jc w:val="both"/>
        <w:rPr>
          <w:rFonts w:ascii="Times New Roman" w:hAnsi="Times New Roman"/>
          <w:color w:val="4F81BD"/>
          <w:sz w:val="24"/>
          <w:szCs w:val="24"/>
          <w:highlight w:val="yellow"/>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35. As transferências de recursos às entidades previstas nos artigos 29 a 32 desta Seção deverão ser precedidas da aprovação de plano de trabalho e da celebração de convênio, devendo ser observadas na elaboração de tais instrumentos as exigências do art. 116 da Lei nº 8.666/1993, ou de outra Lei que vier substituí-la ou alterá-la.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1º. Compete ao órgão ou entidade concedente o acompanhamento da realização do plano de trabalho executado com recursos transferidos pelo Município.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 É vedada a celebração de convênio com entidade em situação irregular com o Município, em decorrência de transferência feita anteriormente.</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3º. Excetuam-se do cumprimento dos dispositivos legais a que se refere o caput deste artigo as caixas escolares da rede pública municipal de ensino que receberem recursos diretamente do Governo Federal por meio do PDDE – Programa Dinheiro Direto na Escola.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36. É vedada a destinação na lei orçamentária e em seus créditos adicionais de recursos para diretamente cobrir necessidades de pessoas físicas, ressalvadas as que atendam as exigências do artigo 26 da Lei Complementar nº 101/2000 e sejam observadas as condições definidas na lei específica.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Parágrafo único. As normas do caput deste artigo não se aplicam a ajuda a pessoas físicas custeadas pelos recursos do Sistema Único de Saúde.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37. A transferência de recursos financeiros de uma entidade para outra, inclusive da Prefeitura Municipal para a Câmara Municipal fica limitada ao valor previsto na lei orçamentária anual e em seus créditos adicionais.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O aumento da transferência de recursos financeiros de uma entidade para outra somente poderá ocorrer mediante prévia autorização legislativa, conforme determina o artigo 167, inciso VI da Constituição da República.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38 – As subvenções,</w:t>
      </w:r>
      <w:proofErr w:type="gramStart"/>
      <w:r w:rsidRPr="002F40E2">
        <w:rPr>
          <w:rFonts w:ascii="Times New Roman" w:hAnsi="Times New Roman"/>
          <w:sz w:val="24"/>
          <w:szCs w:val="24"/>
        </w:rPr>
        <w:t xml:space="preserve">  </w:t>
      </w:r>
      <w:proofErr w:type="gramEnd"/>
      <w:r w:rsidRPr="002F40E2">
        <w:rPr>
          <w:rFonts w:ascii="Times New Roman" w:hAnsi="Times New Roman"/>
          <w:sz w:val="24"/>
          <w:szCs w:val="24"/>
        </w:rPr>
        <w:t>auxílios e  contribuições, embora definidos pela Lei 4320 de 17 de março de 1964, são alcançadas pelas normas gerais para transferências voluntárias previstas pela Lei 13.019/2014.</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32"/>
          <w:szCs w:val="32"/>
        </w:rPr>
      </w:pPr>
    </w:p>
    <w:p w:rsidR="00FC430F" w:rsidRDefault="00FC430F">
      <w:pPr>
        <w:spacing w:after="200" w:line="276" w:lineRule="auto"/>
        <w:rPr>
          <w:rFonts w:ascii="Times New Roman" w:hAnsi="Times New Roman"/>
          <w:b/>
          <w:sz w:val="32"/>
          <w:szCs w:val="32"/>
        </w:rPr>
      </w:pPr>
      <w:r>
        <w:rPr>
          <w:rFonts w:ascii="Times New Roman" w:hAnsi="Times New Roman"/>
          <w:b/>
          <w:sz w:val="32"/>
          <w:szCs w:val="32"/>
        </w:rPr>
        <w:br w:type="page"/>
      </w: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lastRenderedPageBreak/>
        <w:t>Seção IX</w:t>
      </w:r>
    </w:p>
    <w:p w:rsidR="00EA7EDC" w:rsidRPr="002F40E2" w:rsidRDefault="00EA7EDC" w:rsidP="00EA7EDC">
      <w:pPr>
        <w:jc w:val="both"/>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 Autorização para o Município Auxiliar no Custeio de Despesas de Competência de Outros Entes da Federação</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39. É permitida a inclusão na lei orçamentária e em seus créditos adicionais de dotações para que o Município contribua para o custeio de despesas de competência de outro ente da federação, desde que autorizadas mediante lei específica e que sejam destinadas ao atendimento das situações que envolvam claramente o interesse local.</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A realização da despesa definida no caput deste artigo deverá ser precedida da aprovação de plano de trabalho e da celebração de convênio, de acordo com o artigo 116 da Lei nº 8.666/1993.</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X</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Dos Parâmetros para a Elaboração da Programação Financeira e do Cronograma Mensal de Desembolso.</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40. O Poder Executivo estabelecerá por ato próprio, até 30 (trinta) dias após a publicação da lei orçamentária de 2016, as metas bimestrais de arrecadação, a programação financeira e o cronograma mensal de desembolso, respectivamente, nos termos dos artigos 13 e 8º da Lei Complementar nº 101/2000.</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1º. Para atender ao caput deste artigo, as entidades da administração indireta e o Poder Legislativo encaminharão ao Órgão Central de Contabilidade do Município, até 15 (quinze) dias após a publicação da lei orçamentária de 2015, os seguintes demonstrativos: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as metas mensais de arrecadação de receitas, de forma a atender o disposto no artigo 13 da Lei Complementar nº 101/2000;</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a programação financeira das despesas, nos termos do artigo 8º da Lei Complementar nº 101/2000;</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o cronograma mensal de desembolso, incluídos os pagamentos dos restos a pagar, nos termos do artigo 8º da Lei Complementar nº 101/2000.</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 O Poder Executivo deverá dar publicidade às metas bimestrais de arrecadação, à programação financeira e ao cronograma mensal de desembolso através do órgão oficial de publicação do Município até 30 (trinta) dias após a publicação da lei orçamentária de 2016;</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lastRenderedPageBreak/>
        <w:t>§ 3º. A programação financeira e o cronograma mensal de desembolso tratados no caput deste artigo deverão ser elaborados de forma a garantir o cumprimento da meta de resultado primário estabelecida nesta Lei.</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XI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 Definição de Critérios para Início de Novos Projetos</w:t>
      </w:r>
    </w:p>
    <w:p w:rsidR="00EA7EDC" w:rsidRPr="002F40E2" w:rsidRDefault="00EA7EDC" w:rsidP="00EA7EDC">
      <w:pPr>
        <w:jc w:val="both"/>
        <w:rPr>
          <w:rFonts w:ascii="Times New Roman" w:hAnsi="Times New Roman"/>
          <w:b/>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41.  Além da observância das metas e prioridades definidas nos termos do artigo 2º desta Lei, a lei orçamentária de 2016 e seus créditos adicionais, observando o disposto no artigo 45 da Lei Complementar nº 101/2000, somente incluirão projetos novos se:</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estiverem compatíveis com o Plano Plurianual de 2014-2017 e com as normas desta Lei;</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as dotações consignadas às obras já iniciadas forem suficientes para o atendimento de seu cronograma físico-financeiro;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estiverem preservados os recursos necessários à conservação do patrimônio público;</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IV – os recursos alocados destinarem-se a contrapartidas de recursos federais, estaduais ou de operações de crédito.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Parágrafo único. Considera-se projeto em andamento, para os efeitos desta Lei, aquele cuja execução iniciar-se até a data de encaminhamento da proposta orçamentária de 2016, cujo cronograma de execução ultrapasse o término do exercício de 2015.</w:t>
      </w:r>
    </w:p>
    <w:p w:rsidR="00EA7EDC" w:rsidRPr="002F40E2" w:rsidRDefault="00EA7EDC" w:rsidP="00EA7EDC">
      <w:pPr>
        <w:jc w:val="both"/>
        <w:rPr>
          <w:rFonts w:ascii="Times New Roman" w:hAnsi="Times New Roman"/>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XII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 Definição das Despesas Consideradas Irrelevantes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42. Para fins do disposto no § 3º do artigo 16 da Lei Complementar nº 101/2000, são consideradas despesas irrelevantes aquelas cujo valor não ultrapasse os limites previstos nos incisos I e II do artigo 24 da Lei nº 8.666/1993, nos casos, respectivamente, de obras e serviços de engenharia e de outros serviços e compras.</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XIII</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Do Incentivo à Participação Popular</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43. O projeto de lei orçamentária do Município, relativo ao exercício financeiro de 2016, deverá assegurar a transparência na elaboração e execução do orçamento.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lastRenderedPageBreak/>
        <w:t>Parágrafo único – O princípio da transparência implica, além da observância do princípio constitucional da publicidade, na utilização dos meios disponíveis para garantir o efetivo acesso dos munícipes às informações relativas ao orçamento.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44. Será assegurada ao cidadão a participação nas audiências públicas para: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elaboração da proposta orçamentária de 2016 mediante regular processo de consulta;</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avaliação das metas fiscais, conforme definido no artigo 9º, § 4º, da Lei Complementar nº 101/2000, ocasião em que o Poder Executivo demonstrará o comportamento das metas previstas nesta Lei.</w:t>
      </w:r>
    </w:p>
    <w:p w:rsidR="00EA7EDC" w:rsidRPr="002F40E2" w:rsidRDefault="00EA7EDC" w:rsidP="00EA7EDC">
      <w:pPr>
        <w:jc w:val="both"/>
        <w:rPr>
          <w:rFonts w:ascii="Times New Roman" w:hAnsi="Times New Roman"/>
          <w:sz w:val="24"/>
          <w:szCs w:val="24"/>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Seção XIV</w:t>
      </w:r>
    </w:p>
    <w:p w:rsidR="00EA7EDC" w:rsidRPr="002F40E2" w:rsidRDefault="00EA7EDC" w:rsidP="000F78B2">
      <w:pPr>
        <w:jc w:val="center"/>
        <w:rPr>
          <w:rFonts w:ascii="Times New Roman" w:hAnsi="Times New Roman"/>
          <w:b/>
          <w:sz w:val="32"/>
          <w:szCs w:val="32"/>
        </w:rPr>
      </w:pPr>
    </w:p>
    <w:p w:rsidR="00EA7EDC" w:rsidRPr="002F40E2" w:rsidRDefault="00EA7EDC" w:rsidP="000F78B2">
      <w:pPr>
        <w:jc w:val="center"/>
        <w:rPr>
          <w:rFonts w:ascii="Times New Roman" w:hAnsi="Times New Roman"/>
          <w:b/>
          <w:sz w:val="32"/>
          <w:szCs w:val="32"/>
        </w:rPr>
      </w:pPr>
      <w:r w:rsidRPr="002F40E2">
        <w:rPr>
          <w:rFonts w:ascii="Times New Roman" w:hAnsi="Times New Roman"/>
          <w:b/>
          <w:sz w:val="32"/>
          <w:szCs w:val="32"/>
        </w:rPr>
        <w:t>Das Disposições Gerais</w:t>
      </w:r>
    </w:p>
    <w:p w:rsidR="00EA7EDC" w:rsidRPr="002F40E2" w:rsidRDefault="00EA7EDC" w:rsidP="00EA7EDC">
      <w:pPr>
        <w:jc w:val="both"/>
        <w:rPr>
          <w:rFonts w:ascii="Times New Roman" w:hAnsi="Times New Roman"/>
          <w:sz w:val="32"/>
          <w:szCs w:val="32"/>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Art. 45. O Poder Executivo poderá, mediante decreto específico, remanejar, transpor, transferir ou utilizar total ou parcialmente </w:t>
      </w:r>
      <w:proofErr w:type="gramStart"/>
      <w:r w:rsidRPr="002F40E2">
        <w:rPr>
          <w:rFonts w:ascii="Times New Roman" w:hAnsi="Times New Roman"/>
          <w:sz w:val="24"/>
          <w:szCs w:val="24"/>
        </w:rPr>
        <w:t>as dotações orçamentárias aprovadas na Lei Orçamentária de 2016 e em seus créditos adicionais, mantida a estrutura</w:t>
      </w:r>
      <w:proofErr w:type="gramEnd"/>
      <w:r w:rsidRPr="002F40E2">
        <w:rPr>
          <w:rFonts w:ascii="Times New Roman" w:hAnsi="Times New Roman"/>
          <w:sz w:val="24"/>
          <w:szCs w:val="24"/>
        </w:rPr>
        <w:t xml:space="preserve"> programática, expressa por categoria de programação, conforme definida no artigo 3º, desta Lei.</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1º. As categorias de programação, aprovadas na Lei Orçamentária de 2016 e em seus créditos adicionais, poderão ser modificadas por meio de decreto para atender às necessidades de execução desde que verificada a inviabilidade técnica, operacional ou econômica da execução do crédito criando, quando necessário, novas naturezas de despesa.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2º. As modificações a que se refere este artigo também poderão ocorrer quando da abertura de créditos suplementares autorizados na lei orçamentária os quais deverão ser abertos mediante decreto do Poder Executivo.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46.  A abertura de créditos suplementares e especiais dependerá de prévia autorização legislativa e da existência de recursos disponíveis para cobrir a despesa, nos termos da Lei nº 4.320/1964 e da Constituição da República.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1º. A lei orçamentária conterá autorização e disporá sobre o limite para a abertura de créditos adicionais suplementares.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 2º. Acompanharão os projetos de lei relativos a créditos adicionais exposições de motivos circunstanciadas que os justifiquem e que indiquem as </w:t>
      </w:r>
      <w:proofErr w:type="spellStart"/>
      <w:r w:rsidRPr="002F40E2">
        <w:rPr>
          <w:rFonts w:ascii="Times New Roman" w:hAnsi="Times New Roman"/>
          <w:sz w:val="24"/>
          <w:szCs w:val="24"/>
        </w:rPr>
        <w:t>conseqüências</w:t>
      </w:r>
      <w:proofErr w:type="spellEnd"/>
      <w:r w:rsidRPr="002F40E2">
        <w:rPr>
          <w:rFonts w:ascii="Times New Roman" w:hAnsi="Times New Roman"/>
          <w:sz w:val="24"/>
          <w:szCs w:val="24"/>
        </w:rPr>
        <w:t xml:space="preserve"> dos cancelamentos de dotações propostos.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47. A reabertura dos créditos especiais e extraordinários, conforme disposto no artigo 167, § 2º da Constituição da República, será efetivada mediante Decreto do Poder Executivo, utilizando-se os recursos previstos no artigo 43 da Lei nº 4.320/1964.</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lastRenderedPageBreak/>
        <w:t>Art. 48.  O Poder Executivo poderá encaminhar mensagem ao Poder Legislativo para propor modificações no projeto de lei orçamentária anual, enquanto não iniciada a sua votação, no tocante às partes cuja alteração venha ser proposta.</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49.  Se o projeto de lei orçamentária de 2016 não for sancionado pelo Prefeito até 31 de dezembro de 2015,</w:t>
      </w:r>
      <w:proofErr w:type="gramStart"/>
      <w:r w:rsidRPr="002F40E2">
        <w:rPr>
          <w:rFonts w:ascii="Times New Roman" w:hAnsi="Times New Roman"/>
          <w:sz w:val="24"/>
          <w:szCs w:val="24"/>
        </w:rPr>
        <w:t xml:space="preserve">  </w:t>
      </w:r>
      <w:proofErr w:type="gramEnd"/>
      <w:r w:rsidRPr="002F40E2">
        <w:rPr>
          <w:rFonts w:ascii="Times New Roman" w:hAnsi="Times New Roman"/>
          <w:sz w:val="24"/>
          <w:szCs w:val="24"/>
        </w:rPr>
        <w:t>a programação dele constante poderá ser executada para o atendimento das seguintes despesas: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pessoal e encargos sociais;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benefícios previdenciários;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III – amortização, juros e encargos da dívida; </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IV – PIS-PASEP;</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V – demais despesas que constituem obrigações constitucionais ou legais do Município; </w:t>
      </w:r>
      <w:proofErr w:type="gramStart"/>
      <w:r w:rsidRPr="002F40E2">
        <w:rPr>
          <w:rFonts w:ascii="Times New Roman" w:hAnsi="Times New Roman"/>
          <w:sz w:val="24"/>
          <w:szCs w:val="24"/>
        </w:rPr>
        <w:t>e</w:t>
      </w:r>
      <w:proofErr w:type="gramEnd"/>
      <w:r w:rsidRPr="002F40E2">
        <w:rPr>
          <w:rFonts w:ascii="Times New Roman" w:hAnsi="Times New Roman"/>
          <w:sz w:val="24"/>
          <w:szCs w:val="24"/>
        </w:rPr>
        <w:t xml:space="preserve">  </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xml:space="preserve">VI – outras despesas correntes de caráter inadiável.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1º</w:t>
      </w:r>
      <w:proofErr w:type="gramStart"/>
      <w:r w:rsidRPr="002F40E2">
        <w:rPr>
          <w:rFonts w:ascii="Times New Roman" w:hAnsi="Times New Roman"/>
          <w:sz w:val="24"/>
          <w:szCs w:val="24"/>
        </w:rPr>
        <w:t xml:space="preserve">  </w:t>
      </w:r>
      <w:proofErr w:type="gramEnd"/>
      <w:r w:rsidRPr="002F40E2">
        <w:rPr>
          <w:rFonts w:ascii="Times New Roman" w:hAnsi="Times New Roman"/>
          <w:sz w:val="24"/>
          <w:szCs w:val="24"/>
        </w:rPr>
        <w:t xml:space="preserve">As despesas descritas no inciso VI deste artigo estão limitadas a 1/12 (um doze avos) do total de cada ação prevista no projeto de lei orçamentária de 2015, multiplicado pelo número de meses decorridos até a sanção da respectiva lei.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 2º</w:t>
      </w:r>
      <w:proofErr w:type="gramStart"/>
      <w:r w:rsidRPr="002F40E2">
        <w:rPr>
          <w:rFonts w:ascii="Times New Roman" w:hAnsi="Times New Roman"/>
          <w:sz w:val="24"/>
          <w:szCs w:val="24"/>
        </w:rPr>
        <w:t xml:space="preserve">  </w:t>
      </w:r>
      <w:proofErr w:type="gramEnd"/>
      <w:r w:rsidRPr="002F40E2">
        <w:rPr>
          <w:rFonts w:ascii="Times New Roman" w:hAnsi="Times New Roman"/>
          <w:sz w:val="24"/>
          <w:szCs w:val="24"/>
        </w:rPr>
        <w:t>Na execução de outras despesas correntes de caráter inadiável a que se refere o inciso VI do caput, o ordenador de despesa poderá considerar os valores constantes do projeto de lei orçamentária de 2015 para fins do cumprimento do disposto no artigo 16 da Lei Complementar nº 101/2000.</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50. Em atendimento ao disposto no artigo 4º, §§ 1º, 2º e 3º da Lei Complementar nº 101/2000, integram a presente Lei os seguintes anexos:</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 – Anexo de Metas Fiscais;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 – Anexo de Riscos Fiscais.</w:t>
      </w: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III – Anexo de Metas e Prioridades</w:t>
      </w:r>
    </w:p>
    <w:p w:rsidR="00EA7EDC" w:rsidRPr="002F40E2" w:rsidRDefault="00EA7EDC" w:rsidP="00EA7EDC">
      <w:pPr>
        <w:jc w:val="both"/>
        <w:rPr>
          <w:rFonts w:ascii="Times New Roman" w:hAnsi="Times New Roman"/>
          <w:sz w:val="24"/>
          <w:szCs w:val="24"/>
        </w:rPr>
      </w:pPr>
    </w:p>
    <w:p w:rsidR="00EA7EDC" w:rsidRPr="002F40E2" w:rsidRDefault="00EA7EDC" w:rsidP="00EA7EDC">
      <w:pPr>
        <w:pStyle w:val="Blockquote"/>
        <w:tabs>
          <w:tab w:val="left" w:pos="9356"/>
        </w:tabs>
        <w:ind w:left="0" w:right="4"/>
        <w:jc w:val="both"/>
        <w:rPr>
          <w:szCs w:val="24"/>
        </w:rPr>
      </w:pPr>
      <w:r w:rsidRPr="002F40E2">
        <w:rPr>
          <w:szCs w:val="24"/>
        </w:rPr>
        <w:t>Parágrafo Único – Os Anexos, de que tratam os incisos I, II</w:t>
      </w:r>
      <w:proofErr w:type="gramStart"/>
      <w:r w:rsidRPr="002F40E2">
        <w:rPr>
          <w:szCs w:val="24"/>
        </w:rPr>
        <w:t xml:space="preserve">  </w:t>
      </w:r>
      <w:proofErr w:type="gramEnd"/>
      <w:r w:rsidRPr="002F40E2">
        <w:rPr>
          <w:szCs w:val="24"/>
        </w:rPr>
        <w:t>e III serão encaminhados à Câmara Municipal quando do envio da Proposta Orçamentária para 2016 e poderão ser alterados quando da Revisão do PPA .</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r w:rsidRPr="002F40E2">
        <w:rPr>
          <w:rFonts w:ascii="Times New Roman" w:hAnsi="Times New Roman"/>
          <w:sz w:val="24"/>
          <w:szCs w:val="24"/>
        </w:rPr>
        <w:t>Art. 51.  Esta Lei entra em vigor na data de sua publicação, revogando-se as disposições em contrário.</w:t>
      </w: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p>
    <w:p w:rsidR="00EA7EDC" w:rsidRPr="002F40E2" w:rsidRDefault="00EA7EDC" w:rsidP="00EA7EDC">
      <w:pPr>
        <w:jc w:val="both"/>
        <w:rPr>
          <w:rFonts w:ascii="Times New Roman" w:hAnsi="Times New Roman"/>
          <w:sz w:val="24"/>
          <w:szCs w:val="24"/>
        </w:rPr>
      </w:pPr>
    </w:p>
    <w:p w:rsidR="00EA7EDC" w:rsidRPr="002F40E2" w:rsidRDefault="003633CE" w:rsidP="00EA7EDC">
      <w:pPr>
        <w:jc w:val="both"/>
        <w:rPr>
          <w:rFonts w:ascii="Times New Roman" w:hAnsi="Times New Roman"/>
          <w:sz w:val="24"/>
          <w:szCs w:val="24"/>
        </w:rPr>
      </w:pPr>
      <w:r>
        <w:rPr>
          <w:rFonts w:ascii="Times New Roman" w:hAnsi="Times New Roman"/>
          <w:sz w:val="24"/>
          <w:szCs w:val="24"/>
        </w:rPr>
        <w:t>Estiva, 25</w:t>
      </w:r>
      <w:r w:rsidR="00EA7EDC" w:rsidRPr="002F40E2">
        <w:rPr>
          <w:rFonts w:ascii="Times New Roman" w:hAnsi="Times New Roman"/>
          <w:sz w:val="24"/>
          <w:szCs w:val="24"/>
        </w:rPr>
        <w:t xml:space="preserve"> de junho de 2015.</w:t>
      </w:r>
    </w:p>
    <w:p w:rsidR="00EA7EDC" w:rsidRPr="002F40E2" w:rsidRDefault="00EA7EDC" w:rsidP="00EA7EDC">
      <w:pPr>
        <w:jc w:val="center"/>
        <w:rPr>
          <w:rFonts w:ascii="Times New Roman" w:hAnsi="Times New Roman"/>
          <w:color w:val="0000FF"/>
          <w:sz w:val="24"/>
          <w:szCs w:val="24"/>
        </w:rPr>
      </w:pPr>
    </w:p>
    <w:p w:rsidR="00EA7EDC" w:rsidRPr="002F40E2" w:rsidRDefault="00EA7EDC" w:rsidP="00EA7EDC">
      <w:pPr>
        <w:jc w:val="center"/>
        <w:rPr>
          <w:rFonts w:ascii="Times New Roman" w:hAnsi="Times New Roman"/>
          <w:color w:val="0000FF"/>
          <w:sz w:val="24"/>
          <w:szCs w:val="24"/>
        </w:rPr>
      </w:pPr>
    </w:p>
    <w:p w:rsidR="00EA7EDC" w:rsidRPr="002F40E2" w:rsidRDefault="00EA7EDC" w:rsidP="002D45DC">
      <w:pPr>
        <w:pStyle w:val="Ttulo1"/>
        <w:jc w:val="center"/>
        <w:rPr>
          <w:rFonts w:ascii="Times New Roman" w:hAnsi="Times New Roman"/>
          <w:sz w:val="24"/>
          <w:szCs w:val="24"/>
        </w:rPr>
      </w:pPr>
    </w:p>
    <w:p w:rsidR="00742006" w:rsidRPr="002F40E2" w:rsidRDefault="00742006" w:rsidP="002D45DC">
      <w:pPr>
        <w:pStyle w:val="Ttulo1"/>
        <w:jc w:val="center"/>
        <w:rPr>
          <w:rFonts w:ascii="Times New Roman" w:hAnsi="Times New Roman"/>
          <w:i w:val="0"/>
          <w:sz w:val="32"/>
          <w:szCs w:val="32"/>
        </w:rPr>
      </w:pPr>
      <w:r w:rsidRPr="002F40E2">
        <w:rPr>
          <w:rFonts w:ascii="Times New Roman" w:hAnsi="Times New Roman"/>
          <w:i w:val="0"/>
          <w:sz w:val="32"/>
          <w:szCs w:val="32"/>
        </w:rPr>
        <w:t>JUSTIFICATIVA</w:t>
      </w:r>
    </w:p>
    <w:p w:rsidR="00742006" w:rsidRPr="002F40E2" w:rsidRDefault="00742006" w:rsidP="00742006">
      <w:pPr>
        <w:pStyle w:val="1111111"/>
        <w:rPr>
          <w:szCs w:val="24"/>
        </w:rPr>
      </w:pPr>
    </w:p>
    <w:p w:rsidR="00742006" w:rsidRPr="002F40E2" w:rsidRDefault="00742006" w:rsidP="00742006">
      <w:pPr>
        <w:pStyle w:val="1111111"/>
        <w:rPr>
          <w:szCs w:val="24"/>
        </w:rPr>
      </w:pPr>
    </w:p>
    <w:p w:rsidR="00742006" w:rsidRPr="002F40E2" w:rsidRDefault="00742006" w:rsidP="00742006">
      <w:pPr>
        <w:pStyle w:val="1111111"/>
        <w:rPr>
          <w:szCs w:val="24"/>
        </w:rPr>
      </w:pPr>
      <w:r w:rsidRPr="002F40E2">
        <w:rPr>
          <w:szCs w:val="24"/>
        </w:rPr>
        <w:t>Senhor Presidente,</w:t>
      </w:r>
    </w:p>
    <w:p w:rsidR="00742006" w:rsidRPr="002F40E2" w:rsidRDefault="00F26646" w:rsidP="00742006">
      <w:pPr>
        <w:pStyle w:val="1111111"/>
        <w:rPr>
          <w:szCs w:val="24"/>
        </w:rPr>
      </w:pPr>
      <w:r>
        <w:rPr>
          <w:szCs w:val="24"/>
        </w:rPr>
        <w:t>Ilustres V</w:t>
      </w:r>
      <w:r w:rsidR="00742006" w:rsidRPr="002F40E2">
        <w:rPr>
          <w:szCs w:val="24"/>
        </w:rPr>
        <w:t>ereadores,</w:t>
      </w:r>
    </w:p>
    <w:p w:rsidR="002D45DC" w:rsidRDefault="004E3EB0" w:rsidP="001954BC">
      <w:pPr>
        <w:pStyle w:val="1111111"/>
        <w:rPr>
          <w:szCs w:val="24"/>
        </w:rPr>
      </w:pPr>
      <w:r>
        <w:rPr>
          <w:szCs w:val="24"/>
        </w:rPr>
        <w:t>Submetemos a esta Casa</w:t>
      </w:r>
      <w:r w:rsidR="00742006" w:rsidRPr="002F40E2">
        <w:rPr>
          <w:szCs w:val="24"/>
        </w:rPr>
        <w:t xml:space="preserve"> proposta</w:t>
      </w:r>
      <w:r>
        <w:rPr>
          <w:szCs w:val="24"/>
        </w:rPr>
        <w:t xml:space="preserve"> </w:t>
      </w:r>
      <w:r w:rsidR="00BD0C7E">
        <w:rPr>
          <w:szCs w:val="24"/>
        </w:rPr>
        <w:t>que versa sobre</w:t>
      </w:r>
      <w:r>
        <w:rPr>
          <w:szCs w:val="24"/>
        </w:rPr>
        <w:t xml:space="preserve"> as diretrizes para elaboração da Lei Orçamentária A</w:t>
      </w:r>
      <w:r w:rsidR="00BD0C7E">
        <w:rPr>
          <w:szCs w:val="24"/>
        </w:rPr>
        <w:t>nual</w:t>
      </w:r>
      <w:r w:rsidR="002B385E">
        <w:rPr>
          <w:szCs w:val="24"/>
        </w:rPr>
        <w:t xml:space="preserve"> para o </w:t>
      </w:r>
      <w:r w:rsidR="00A0276E">
        <w:rPr>
          <w:szCs w:val="24"/>
        </w:rPr>
        <w:t>exercício</w:t>
      </w:r>
      <w:r w:rsidR="002B385E">
        <w:rPr>
          <w:szCs w:val="24"/>
        </w:rPr>
        <w:t xml:space="preserve"> 2016</w:t>
      </w:r>
    </w:p>
    <w:p w:rsidR="002B385E" w:rsidRDefault="002B385E" w:rsidP="001954BC">
      <w:pPr>
        <w:pStyle w:val="1111111"/>
        <w:rPr>
          <w:szCs w:val="24"/>
        </w:rPr>
      </w:pPr>
      <w:r>
        <w:rPr>
          <w:szCs w:val="24"/>
        </w:rPr>
        <w:t>A propositura em questão estabelece regras e diretrizes para a elaboração da Lei Orçamentária Anual. Objetiva orientar a forma a pela qual serão detalhadas as metas e as prioridades para a administração p</w:t>
      </w:r>
      <w:r w:rsidR="00BE3E24">
        <w:rPr>
          <w:szCs w:val="24"/>
        </w:rPr>
        <w:t>ú</w:t>
      </w:r>
      <w:r>
        <w:rPr>
          <w:szCs w:val="24"/>
        </w:rPr>
        <w:t>blica municipal para o exercício financeiro de 2016.</w:t>
      </w:r>
    </w:p>
    <w:p w:rsidR="004E3EB0" w:rsidRDefault="002B385E" w:rsidP="001954BC">
      <w:pPr>
        <w:pStyle w:val="1111111"/>
        <w:rPr>
          <w:szCs w:val="24"/>
        </w:rPr>
      </w:pPr>
      <w:r>
        <w:rPr>
          <w:szCs w:val="24"/>
        </w:rPr>
        <w:t xml:space="preserve">O projeto em </w:t>
      </w:r>
      <w:r w:rsidR="006D6F8C">
        <w:rPr>
          <w:szCs w:val="24"/>
        </w:rPr>
        <w:t>questão</w:t>
      </w:r>
      <w:r>
        <w:rPr>
          <w:szCs w:val="24"/>
        </w:rPr>
        <w:t xml:space="preserve"> visa dar a correta </w:t>
      </w:r>
      <w:r w:rsidR="006D6F8C">
        <w:rPr>
          <w:szCs w:val="24"/>
        </w:rPr>
        <w:t>observância do estabelecido na Lei</w:t>
      </w:r>
      <w:r w:rsidR="00BE3E24">
        <w:rPr>
          <w:szCs w:val="24"/>
        </w:rPr>
        <w:t xml:space="preserve"> Complementar</w:t>
      </w:r>
      <w:r>
        <w:rPr>
          <w:szCs w:val="24"/>
        </w:rPr>
        <w:t xml:space="preserve"> 101 de </w:t>
      </w:r>
      <w:proofErr w:type="gramStart"/>
      <w:r>
        <w:rPr>
          <w:szCs w:val="24"/>
        </w:rPr>
        <w:t>4/05/200</w:t>
      </w:r>
      <w:r w:rsidR="00503D75">
        <w:rPr>
          <w:szCs w:val="24"/>
        </w:rPr>
        <w:t>0</w:t>
      </w:r>
      <w:r>
        <w:rPr>
          <w:szCs w:val="24"/>
        </w:rPr>
        <w:t xml:space="preserve"> ,</w:t>
      </w:r>
      <w:proofErr w:type="gramEnd"/>
      <w:r>
        <w:rPr>
          <w:szCs w:val="24"/>
        </w:rPr>
        <w:t xml:space="preserve"> Lei de Respo</w:t>
      </w:r>
      <w:r w:rsidR="00503D75">
        <w:rPr>
          <w:szCs w:val="24"/>
        </w:rPr>
        <w:t>nsabilidade F</w:t>
      </w:r>
      <w:r>
        <w:rPr>
          <w:szCs w:val="24"/>
        </w:rPr>
        <w:t>iscal, destac</w:t>
      </w:r>
      <w:r w:rsidR="00503D75">
        <w:rPr>
          <w:szCs w:val="24"/>
        </w:rPr>
        <w:t>a</w:t>
      </w:r>
      <w:r>
        <w:rPr>
          <w:szCs w:val="24"/>
        </w:rPr>
        <w:t xml:space="preserve">ndo-se entre outras </w:t>
      </w:r>
      <w:r w:rsidR="00503D75">
        <w:rPr>
          <w:szCs w:val="24"/>
        </w:rPr>
        <w:t>disposições, o estabelecimento</w:t>
      </w:r>
      <w:r>
        <w:rPr>
          <w:szCs w:val="24"/>
        </w:rPr>
        <w:t xml:space="preserve"> de metas fiscais bem como a avaliação dos riscos e as condições necessárias para expansão </w:t>
      </w:r>
      <w:r w:rsidR="00503D75">
        <w:rPr>
          <w:szCs w:val="24"/>
        </w:rPr>
        <w:t>das despesas obrigatórias</w:t>
      </w:r>
      <w:r w:rsidR="00BE3E24">
        <w:rPr>
          <w:szCs w:val="24"/>
        </w:rPr>
        <w:t xml:space="preserve"> de natureza continuada.</w:t>
      </w:r>
    </w:p>
    <w:p w:rsidR="002B385E" w:rsidRPr="002F40E2" w:rsidRDefault="002B385E" w:rsidP="001954BC">
      <w:pPr>
        <w:pStyle w:val="1111111"/>
        <w:rPr>
          <w:szCs w:val="24"/>
        </w:rPr>
      </w:pPr>
      <w:r>
        <w:rPr>
          <w:szCs w:val="24"/>
        </w:rPr>
        <w:t xml:space="preserve">As </w:t>
      </w:r>
      <w:r w:rsidR="00503D75">
        <w:rPr>
          <w:szCs w:val="24"/>
        </w:rPr>
        <w:t>diretrizes</w:t>
      </w:r>
      <w:r>
        <w:rPr>
          <w:szCs w:val="24"/>
        </w:rPr>
        <w:t xml:space="preserve"> pr</w:t>
      </w:r>
      <w:r w:rsidR="00503D75">
        <w:rPr>
          <w:szCs w:val="24"/>
        </w:rPr>
        <w:t>o</w:t>
      </w:r>
      <w:r w:rsidR="00BE3E24">
        <w:rPr>
          <w:szCs w:val="24"/>
        </w:rPr>
        <w:t>postas</w:t>
      </w:r>
      <w:r w:rsidR="003E4185">
        <w:rPr>
          <w:szCs w:val="24"/>
        </w:rPr>
        <w:t xml:space="preserve"> tê</w:t>
      </w:r>
      <w:r w:rsidR="00503D75">
        <w:rPr>
          <w:szCs w:val="24"/>
        </w:rPr>
        <w:t>m</w:t>
      </w:r>
      <w:r>
        <w:rPr>
          <w:szCs w:val="24"/>
        </w:rPr>
        <w:t xml:space="preserve"> como norte as ações </w:t>
      </w:r>
      <w:r w:rsidR="00503D75">
        <w:rPr>
          <w:szCs w:val="24"/>
        </w:rPr>
        <w:t>estabelecidas no P</w:t>
      </w:r>
      <w:r>
        <w:rPr>
          <w:szCs w:val="24"/>
        </w:rPr>
        <w:t>la</w:t>
      </w:r>
      <w:r w:rsidR="00503D75">
        <w:rPr>
          <w:szCs w:val="24"/>
        </w:rPr>
        <w:t>no Plurianual cujos ob</w:t>
      </w:r>
      <w:r>
        <w:rPr>
          <w:szCs w:val="24"/>
        </w:rPr>
        <w:t>jetivos se tradu</w:t>
      </w:r>
      <w:r w:rsidR="00503D75">
        <w:rPr>
          <w:szCs w:val="24"/>
        </w:rPr>
        <w:t>z</w:t>
      </w:r>
      <w:r>
        <w:rPr>
          <w:szCs w:val="24"/>
        </w:rPr>
        <w:t xml:space="preserve">em na redução </w:t>
      </w:r>
      <w:r w:rsidR="00503D75">
        <w:rPr>
          <w:szCs w:val="24"/>
        </w:rPr>
        <w:t>das desigualdades socia</w:t>
      </w:r>
      <w:r>
        <w:rPr>
          <w:szCs w:val="24"/>
        </w:rPr>
        <w:t xml:space="preserve">is e </w:t>
      </w:r>
      <w:r w:rsidR="00503D75">
        <w:rPr>
          <w:szCs w:val="24"/>
        </w:rPr>
        <w:t xml:space="preserve">na </w:t>
      </w:r>
      <w:r>
        <w:rPr>
          <w:szCs w:val="24"/>
        </w:rPr>
        <w:t>melhor</w:t>
      </w:r>
      <w:r w:rsidR="00503D75">
        <w:rPr>
          <w:szCs w:val="24"/>
        </w:rPr>
        <w:t>ia na</w:t>
      </w:r>
      <w:r>
        <w:rPr>
          <w:szCs w:val="24"/>
        </w:rPr>
        <w:t xml:space="preserve"> qua</w:t>
      </w:r>
      <w:r w:rsidR="00503D75">
        <w:rPr>
          <w:szCs w:val="24"/>
        </w:rPr>
        <w:t>lidade de vida da no</w:t>
      </w:r>
      <w:r w:rsidR="00BE3E24">
        <w:rPr>
          <w:szCs w:val="24"/>
        </w:rPr>
        <w:t>ssa população. Est</w:t>
      </w:r>
      <w:r>
        <w:rPr>
          <w:szCs w:val="24"/>
        </w:rPr>
        <w:t>as</w:t>
      </w:r>
      <w:proofErr w:type="gramStart"/>
      <w:r>
        <w:rPr>
          <w:szCs w:val="24"/>
        </w:rPr>
        <w:t xml:space="preserve"> pois</w:t>
      </w:r>
      <w:proofErr w:type="gramEnd"/>
      <w:r>
        <w:rPr>
          <w:szCs w:val="24"/>
        </w:rPr>
        <w:t xml:space="preserve"> são </w:t>
      </w:r>
      <w:r w:rsidR="00503D75">
        <w:rPr>
          <w:szCs w:val="24"/>
        </w:rPr>
        <w:t>as objetivas raz</w:t>
      </w:r>
      <w:r w:rsidR="00083F75">
        <w:rPr>
          <w:szCs w:val="24"/>
        </w:rPr>
        <w:t>ões</w:t>
      </w:r>
      <w:r>
        <w:rPr>
          <w:szCs w:val="24"/>
        </w:rPr>
        <w:t xml:space="preserve"> pelas quais s</w:t>
      </w:r>
      <w:r w:rsidR="00503D75">
        <w:rPr>
          <w:szCs w:val="24"/>
        </w:rPr>
        <w:t xml:space="preserve">ubmetemos a </w:t>
      </w:r>
      <w:r w:rsidR="003E0B2E">
        <w:rPr>
          <w:szCs w:val="24"/>
        </w:rPr>
        <w:t>apreciação</w:t>
      </w:r>
      <w:r>
        <w:rPr>
          <w:szCs w:val="24"/>
        </w:rPr>
        <w:t xml:space="preserve"> des</w:t>
      </w:r>
      <w:r w:rsidR="00503D75">
        <w:rPr>
          <w:szCs w:val="24"/>
        </w:rPr>
        <w:t>te par</w:t>
      </w:r>
      <w:r>
        <w:rPr>
          <w:szCs w:val="24"/>
        </w:rPr>
        <w:t>lamento a referida propos</w:t>
      </w:r>
      <w:r w:rsidR="00503D75">
        <w:rPr>
          <w:szCs w:val="24"/>
        </w:rPr>
        <w:t>ta</w:t>
      </w:r>
      <w:r w:rsidR="00BE3E24">
        <w:rPr>
          <w:szCs w:val="24"/>
        </w:rPr>
        <w:t>, a qual</w:t>
      </w:r>
      <w:r w:rsidR="00503D75">
        <w:rPr>
          <w:szCs w:val="24"/>
        </w:rPr>
        <w:t xml:space="preserve"> esperam</w:t>
      </w:r>
      <w:r>
        <w:rPr>
          <w:szCs w:val="24"/>
        </w:rPr>
        <w:t>o</w:t>
      </w:r>
      <w:r w:rsidR="00503D75">
        <w:rPr>
          <w:szCs w:val="24"/>
        </w:rPr>
        <w:t>s</w:t>
      </w:r>
      <w:r>
        <w:rPr>
          <w:szCs w:val="24"/>
        </w:rPr>
        <w:t xml:space="preserve"> possa mer</w:t>
      </w:r>
      <w:r w:rsidR="00503D75">
        <w:rPr>
          <w:szCs w:val="24"/>
        </w:rPr>
        <w:t>e</w:t>
      </w:r>
      <w:r>
        <w:rPr>
          <w:szCs w:val="24"/>
        </w:rPr>
        <w:t>cer habitual colaboração de vossa exc</w:t>
      </w:r>
      <w:r w:rsidR="00503D75">
        <w:rPr>
          <w:szCs w:val="24"/>
        </w:rPr>
        <w:t>elê</w:t>
      </w:r>
      <w:r>
        <w:rPr>
          <w:szCs w:val="24"/>
        </w:rPr>
        <w:t>nc</w:t>
      </w:r>
      <w:r w:rsidR="00503D75">
        <w:rPr>
          <w:szCs w:val="24"/>
        </w:rPr>
        <w:t>i</w:t>
      </w:r>
      <w:r>
        <w:rPr>
          <w:szCs w:val="24"/>
        </w:rPr>
        <w:t>a e seus nobres pares.</w:t>
      </w:r>
    </w:p>
    <w:p w:rsidR="002D45DC" w:rsidRPr="002F40E2" w:rsidRDefault="002D45DC" w:rsidP="00742006">
      <w:pPr>
        <w:pStyle w:val="1111111"/>
        <w:rPr>
          <w:szCs w:val="24"/>
        </w:rPr>
      </w:pPr>
    </w:p>
    <w:p w:rsidR="00742006" w:rsidRPr="002F40E2" w:rsidRDefault="00742006" w:rsidP="00742006">
      <w:pPr>
        <w:pStyle w:val="1111111"/>
        <w:rPr>
          <w:szCs w:val="24"/>
        </w:rPr>
      </w:pPr>
      <w:r w:rsidRPr="002F40E2">
        <w:rPr>
          <w:szCs w:val="24"/>
        </w:rPr>
        <w:t xml:space="preserve">Prefeitura </w:t>
      </w:r>
      <w:r w:rsidR="00EB40B7">
        <w:rPr>
          <w:szCs w:val="24"/>
        </w:rPr>
        <w:t>Municipal de Estiva, 2</w:t>
      </w:r>
      <w:r w:rsidR="003633CE">
        <w:rPr>
          <w:szCs w:val="24"/>
        </w:rPr>
        <w:t>5</w:t>
      </w:r>
      <w:r w:rsidR="00EB40B7">
        <w:rPr>
          <w:szCs w:val="24"/>
        </w:rPr>
        <w:t xml:space="preserve"> de junho</w:t>
      </w:r>
      <w:r w:rsidRPr="002F40E2">
        <w:rPr>
          <w:szCs w:val="24"/>
        </w:rPr>
        <w:t xml:space="preserve"> de 2015.</w:t>
      </w:r>
    </w:p>
    <w:p w:rsidR="00742006" w:rsidRPr="002F40E2" w:rsidRDefault="00742006" w:rsidP="00742006">
      <w:pPr>
        <w:pStyle w:val="1111111"/>
        <w:rPr>
          <w:szCs w:val="24"/>
        </w:rPr>
      </w:pPr>
    </w:p>
    <w:p w:rsidR="00742006" w:rsidRPr="002F40E2" w:rsidRDefault="00742006" w:rsidP="00742006">
      <w:pPr>
        <w:pStyle w:val="1111111"/>
        <w:rPr>
          <w:szCs w:val="24"/>
        </w:rPr>
      </w:pPr>
    </w:p>
    <w:p w:rsidR="00742006" w:rsidRPr="002F40E2" w:rsidRDefault="00742006" w:rsidP="00742006">
      <w:pPr>
        <w:pStyle w:val="1111111"/>
        <w:jc w:val="center"/>
        <w:rPr>
          <w:szCs w:val="24"/>
        </w:rPr>
      </w:pPr>
      <w:r w:rsidRPr="002F40E2">
        <w:rPr>
          <w:szCs w:val="24"/>
        </w:rPr>
        <w:t>João Marques Ferreira</w:t>
      </w:r>
    </w:p>
    <w:p w:rsidR="00742006" w:rsidRPr="002F40E2" w:rsidRDefault="00742006" w:rsidP="00742006">
      <w:pPr>
        <w:pStyle w:val="1111111"/>
        <w:jc w:val="center"/>
        <w:rPr>
          <w:szCs w:val="24"/>
        </w:rPr>
      </w:pPr>
      <w:r w:rsidRPr="002F40E2">
        <w:rPr>
          <w:szCs w:val="24"/>
        </w:rPr>
        <w:t>Prefeito Municipal</w:t>
      </w:r>
    </w:p>
    <w:p w:rsidR="00742006" w:rsidRPr="002F40E2" w:rsidRDefault="00742006" w:rsidP="00742006">
      <w:pPr>
        <w:rPr>
          <w:rFonts w:ascii="Times New Roman" w:hAnsi="Times New Roman"/>
          <w:b/>
          <w:sz w:val="24"/>
          <w:szCs w:val="24"/>
        </w:rPr>
      </w:pPr>
    </w:p>
    <w:p w:rsidR="00A02F4E" w:rsidRPr="002F40E2" w:rsidRDefault="00A02F4E" w:rsidP="00742006">
      <w:pPr>
        <w:rPr>
          <w:rFonts w:ascii="Times New Roman" w:hAnsi="Times New Roman"/>
          <w:sz w:val="24"/>
          <w:szCs w:val="24"/>
        </w:rPr>
      </w:pPr>
    </w:p>
    <w:sectPr w:rsidR="00A02F4E" w:rsidRPr="002F40E2" w:rsidSect="00DA225A">
      <w:head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AB3" w:rsidRDefault="00F83AB3" w:rsidP="00464FAB">
      <w:r>
        <w:separator/>
      </w:r>
    </w:p>
  </w:endnote>
  <w:endnote w:type="continuationSeparator" w:id="0">
    <w:p w:rsidR="00F83AB3" w:rsidRDefault="00F83AB3" w:rsidP="0046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AB3" w:rsidRDefault="00F83AB3" w:rsidP="00464FAB">
      <w:r>
        <w:separator/>
      </w:r>
    </w:p>
  </w:footnote>
  <w:footnote w:type="continuationSeparator" w:id="0">
    <w:p w:rsidR="00F83AB3" w:rsidRDefault="00F83AB3" w:rsidP="00464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5DC" w:rsidRPr="009F3347" w:rsidRDefault="002D45DC" w:rsidP="002D45DC">
    <w:pPr>
      <w:pStyle w:val="Cabealho"/>
      <w:jc w:val="center"/>
      <w:rPr>
        <w:rFonts w:ascii="Arial" w:hAnsi="Arial"/>
        <w:b/>
        <w:sz w:val="40"/>
        <w:szCs w:val="40"/>
      </w:rPr>
    </w:pPr>
    <w:r>
      <w:rPr>
        <w:b/>
        <w:noProof/>
        <w:sz w:val="40"/>
        <w:szCs w:val="40"/>
        <w:lang w:eastAsia="pt-BR"/>
      </w:rPr>
      <w:drawing>
        <wp:anchor distT="0" distB="0" distL="114300" distR="114300" simplePos="0" relativeHeight="251660288" behindDoc="0" locked="0" layoutInCell="1" allowOverlap="1">
          <wp:simplePos x="0" y="0"/>
          <wp:positionH relativeFrom="margin">
            <wp:posOffset>5120640</wp:posOffset>
          </wp:positionH>
          <wp:positionV relativeFrom="margin">
            <wp:posOffset>-1202690</wp:posOffset>
          </wp:positionV>
          <wp:extent cx="1180465" cy="733425"/>
          <wp:effectExtent l="19050" t="0" r="635" b="0"/>
          <wp:wrapSquare wrapText="bothSides"/>
          <wp:docPr id="4" name="Imagem 1" descr="Logomarca Prefeitur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arca Prefeitura RGB"/>
                  <pic:cNvPicPr>
                    <a:picLocks noChangeAspect="1" noChangeArrowheads="1"/>
                  </pic:cNvPicPr>
                </pic:nvPicPr>
                <pic:blipFill>
                  <a:blip r:embed="rId1"/>
                  <a:srcRect/>
                  <a:stretch>
                    <a:fillRect/>
                  </a:stretch>
                </pic:blipFill>
                <pic:spPr bwMode="auto">
                  <a:xfrm>
                    <a:off x="0" y="0"/>
                    <a:ext cx="1180465" cy="733425"/>
                  </a:xfrm>
                  <a:prstGeom prst="rect">
                    <a:avLst/>
                  </a:prstGeom>
                  <a:noFill/>
                  <a:ln w="9525">
                    <a:noFill/>
                    <a:miter lim="800000"/>
                    <a:headEnd/>
                    <a:tailEnd/>
                  </a:ln>
                </pic:spPr>
              </pic:pic>
            </a:graphicData>
          </a:graphic>
        </wp:anchor>
      </w:drawing>
    </w:r>
    <w:r>
      <w:rPr>
        <w:b/>
        <w:noProof/>
        <w:sz w:val="40"/>
        <w:szCs w:val="40"/>
        <w:lang w:eastAsia="pt-BR"/>
      </w:rPr>
      <w:drawing>
        <wp:anchor distT="0" distB="0" distL="114300" distR="114300" simplePos="0" relativeHeight="251659264" behindDoc="0" locked="0" layoutInCell="1" allowOverlap="1">
          <wp:simplePos x="0" y="0"/>
          <wp:positionH relativeFrom="column">
            <wp:posOffset>-756285</wp:posOffset>
          </wp:positionH>
          <wp:positionV relativeFrom="paragraph">
            <wp:posOffset>-78740</wp:posOffset>
          </wp:positionV>
          <wp:extent cx="762000" cy="800100"/>
          <wp:effectExtent l="1905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762000" cy="800100"/>
                  </a:xfrm>
                  <a:prstGeom prst="rect">
                    <a:avLst/>
                  </a:prstGeom>
                  <a:noFill/>
                  <a:ln w="9525">
                    <a:noFill/>
                    <a:miter lim="800000"/>
                    <a:headEnd/>
                    <a:tailEnd/>
                  </a:ln>
                </pic:spPr>
              </pic:pic>
            </a:graphicData>
          </a:graphic>
        </wp:anchor>
      </w:drawing>
    </w:r>
    <w:r>
      <w:rPr>
        <w:rFonts w:ascii="Arial" w:hAnsi="Arial" w:cs="Arial"/>
        <w:b/>
        <w:sz w:val="40"/>
        <w:szCs w:val="40"/>
      </w:rPr>
      <w:t>Prefeitura Municipal de Estiva (</w:t>
    </w:r>
    <w:r w:rsidRPr="009F3347">
      <w:rPr>
        <w:rFonts w:ascii="Arial" w:hAnsi="Arial" w:cs="Arial"/>
        <w:b/>
        <w:sz w:val="40"/>
        <w:szCs w:val="40"/>
      </w:rPr>
      <w:t>MG</w:t>
    </w:r>
    <w:r>
      <w:rPr>
        <w:rFonts w:ascii="Arial" w:hAnsi="Arial" w:cs="Arial"/>
        <w:b/>
        <w:sz w:val="40"/>
        <w:szCs w:val="40"/>
      </w:rPr>
      <w:t>)</w:t>
    </w:r>
  </w:p>
  <w:p w:rsidR="002D45DC" w:rsidRPr="00E83016" w:rsidRDefault="002D45DC" w:rsidP="002D45DC">
    <w:pPr>
      <w:pStyle w:val="Cabealho"/>
      <w:jc w:val="center"/>
      <w:rPr>
        <w:rFonts w:ascii="Arial" w:hAnsi="Arial"/>
        <w:b/>
        <w:sz w:val="36"/>
        <w:szCs w:val="36"/>
      </w:rPr>
    </w:pPr>
    <w:r w:rsidRPr="00E83016">
      <w:rPr>
        <w:rFonts w:ascii="Arial" w:hAnsi="Arial"/>
        <w:b/>
        <w:sz w:val="36"/>
        <w:szCs w:val="36"/>
      </w:rPr>
      <w:t>Gabinete do Prefeito</w:t>
    </w:r>
  </w:p>
  <w:p w:rsidR="002D45DC" w:rsidRPr="009F3347" w:rsidRDefault="002D45DC" w:rsidP="002D45DC">
    <w:pPr>
      <w:pStyle w:val="Cabealho"/>
    </w:pPr>
  </w:p>
  <w:p w:rsidR="002D45DC" w:rsidRDefault="002D45DC" w:rsidP="002D45DC">
    <w:pPr>
      <w:pStyle w:val="Cabealho"/>
    </w:pPr>
  </w:p>
  <w:p w:rsidR="002D45DC" w:rsidRPr="009F3347" w:rsidRDefault="002D45DC" w:rsidP="002D45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580A"/>
    <w:multiLevelType w:val="hybridMultilevel"/>
    <w:tmpl w:val="69161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093AA4"/>
    <w:multiLevelType w:val="hybridMultilevel"/>
    <w:tmpl w:val="B6A69E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0B46302"/>
    <w:multiLevelType w:val="hybridMultilevel"/>
    <w:tmpl w:val="99BC70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F61E1C"/>
    <w:multiLevelType w:val="hybridMultilevel"/>
    <w:tmpl w:val="5396371C"/>
    <w:lvl w:ilvl="0" w:tplc="AA7858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3B0E4DE8"/>
    <w:multiLevelType w:val="hybridMultilevel"/>
    <w:tmpl w:val="E952A4A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5">
    <w:nsid w:val="3C8D2E17"/>
    <w:multiLevelType w:val="hybridMultilevel"/>
    <w:tmpl w:val="BF8025B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6631378E"/>
    <w:multiLevelType w:val="hybridMultilevel"/>
    <w:tmpl w:val="F7F4D116"/>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AB"/>
    <w:rsid w:val="000029A2"/>
    <w:rsid w:val="00014FEE"/>
    <w:rsid w:val="00034329"/>
    <w:rsid w:val="00040BFA"/>
    <w:rsid w:val="00056036"/>
    <w:rsid w:val="00066396"/>
    <w:rsid w:val="00072E31"/>
    <w:rsid w:val="00083F75"/>
    <w:rsid w:val="00092336"/>
    <w:rsid w:val="000A0EEB"/>
    <w:rsid w:val="000A5AFF"/>
    <w:rsid w:val="000B6E42"/>
    <w:rsid w:val="000E30BB"/>
    <w:rsid w:val="000E7159"/>
    <w:rsid w:val="000F2330"/>
    <w:rsid w:val="000F447E"/>
    <w:rsid w:val="000F78B2"/>
    <w:rsid w:val="001005ED"/>
    <w:rsid w:val="00121643"/>
    <w:rsid w:val="001226E3"/>
    <w:rsid w:val="0013066F"/>
    <w:rsid w:val="00131193"/>
    <w:rsid w:val="00135B7F"/>
    <w:rsid w:val="001423E9"/>
    <w:rsid w:val="001508D0"/>
    <w:rsid w:val="001546D0"/>
    <w:rsid w:val="0018218B"/>
    <w:rsid w:val="00191DD2"/>
    <w:rsid w:val="0019291E"/>
    <w:rsid w:val="001954BC"/>
    <w:rsid w:val="00197791"/>
    <w:rsid w:val="001C17E8"/>
    <w:rsid w:val="001D2840"/>
    <w:rsid w:val="001E7223"/>
    <w:rsid w:val="00201558"/>
    <w:rsid w:val="002248AF"/>
    <w:rsid w:val="00231883"/>
    <w:rsid w:val="00251AED"/>
    <w:rsid w:val="00264615"/>
    <w:rsid w:val="00274709"/>
    <w:rsid w:val="00281C6C"/>
    <w:rsid w:val="00285144"/>
    <w:rsid w:val="002A5A42"/>
    <w:rsid w:val="002B385E"/>
    <w:rsid w:val="002B4A90"/>
    <w:rsid w:val="002C34CF"/>
    <w:rsid w:val="002D45DC"/>
    <w:rsid w:val="002E747C"/>
    <w:rsid w:val="002F40E2"/>
    <w:rsid w:val="00305C73"/>
    <w:rsid w:val="003115E6"/>
    <w:rsid w:val="00315DD0"/>
    <w:rsid w:val="00342D02"/>
    <w:rsid w:val="00345A29"/>
    <w:rsid w:val="003633CE"/>
    <w:rsid w:val="003676EA"/>
    <w:rsid w:val="00373E23"/>
    <w:rsid w:val="00381453"/>
    <w:rsid w:val="003A46A1"/>
    <w:rsid w:val="003B5259"/>
    <w:rsid w:val="003C529C"/>
    <w:rsid w:val="003C6E6D"/>
    <w:rsid w:val="003E0B2E"/>
    <w:rsid w:val="003E4185"/>
    <w:rsid w:val="003F5970"/>
    <w:rsid w:val="00401CC9"/>
    <w:rsid w:val="00404B13"/>
    <w:rsid w:val="00406A9A"/>
    <w:rsid w:val="00415D60"/>
    <w:rsid w:val="00433CB5"/>
    <w:rsid w:val="004400F8"/>
    <w:rsid w:val="00441E91"/>
    <w:rsid w:val="00455864"/>
    <w:rsid w:val="00464FAB"/>
    <w:rsid w:val="00483E5D"/>
    <w:rsid w:val="00484706"/>
    <w:rsid w:val="0048689C"/>
    <w:rsid w:val="00497D48"/>
    <w:rsid w:val="004A043F"/>
    <w:rsid w:val="004A2A41"/>
    <w:rsid w:val="004A6534"/>
    <w:rsid w:val="004A6B32"/>
    <w:rsid w:val="004B7B34"/>
    <w:rsid w:val="004C1C57"/>
    <w:rsid w:val="004E1BFF"/>
    <w:rsid w:val="004E3EB0"/>
    <w:rsid w:val="00503D75"/>
    <w:rsid w:val="0050643F"/>
    <w:rsid w:val="00522736"/>
    <w:rsid w:val="00524ED0"/>
    <w:rsid w:val="00527C81"/>
    <w:rsid w:val="0054510F"/>
    <w:rsid w:val="00550F36"/>
    <w:rsid w:val="00557AAC"/>
    <w:rsid w:val="00561B6E"/>
    <w:rsid w:val="00564D72"/>
    <w:rsid w:val="00571796"/>
    <w:rsid w:val="0058422E"/>
    <w:rsid w:val="005970C2"/>
    <w:rsid w:val="005D2E3E"/>
    <w:rsid w:val="005F1A5D"/>
    <w:rsid w:val="005F1CE5"/>
    <w:rsid w:val="005F70CB"/>
    <w:rsid w:val="00600C2C"/>
    <w:rsid w:val="00602EE7"/>
    <w:rsid w:val="00610218"/>
    <w:rsid w:val="00624862"/>
    <w:rsid w:val="00673F8C"/>
    <w:rsid w:val="00682F79"/>
    <w:rsid w:val="006857D3"/>
    <w:rsid w:val="006B385A"/>
    <w:rsid w:val="006B41EA"/>
    <w:rsid w:val="006B63DB"/>
    <w:rsid w:val="006D5EB6"/>
    <w:rsid w:val="006D6F8C"/>
    <w:rsid w:val="006F7F45"/>
    <w:rsid w:val="006F7FB0"/>
    <w:rsid w:val="00700D19"/>
    <w:rsid w:val="00703E68"/>
    <w:rsid w:val="0070658E"/>
    <w:rsid w:val="0071306B"/>
    <w:rsid w:val="00742006"/>
    <w:rsid w:val="00770923"/>
    <w:rsid w:val="0078180E"/>
    <w:rsid w:val="007875BE"/>
    <w:rsid w:val="007A46AA"/>
    <w:rsid w:val="007A7C9E"/>
    <w:rsid w:val="007B3303"/>
    <w:rsid w:val="007C269E"/>
    <w:rsid w:val="007E4881"/>
    <w:rsid w:val="007E5B4A"/>
    <w:rsid w:val="008523AD"/>
    <w:rsid w:val="00853D4C"/>
    <w:rsid w:val="00862FD1"/>
    <w:rsid w:val="00863693"/>
    <w:rsid w:val="0087090D"/>
    <w:rsid w:val="00873E0B"/>
    <w:rsid w:val="008C12F8"/>
    <w:rsid w:val="008D5644"/>
    <w:rsid w:val="0090012F"/>
    <w:rsid w:val="009004B7"/>
    <w:rsid w:val="00901718"/>
    <w:rsid w:val="00914DEA"/>
    <w:rsid w:val="00915408"/>
    <w:rsid w:val="00923300"/>
    <w:rsid w:val="00952873"/>
    <w:rsid w:val="00966067"/>
    <w:rsid w:val="009741DD"/>
    <w:rsid w:val="00982C1E"/>
    <w:rsid w:val="009D1A0D"/>
    <w:rsid w:val="009D7485"/>
    <w:rsid w:val="009E431E"/>
    <w:rsid w:val="009F3347"/>
    <w:rsid w:val="00A0276E"/>
    <w:rsid w:val="00A02F4E"/>
    <w:rsid w:val="00A0406D"/>
    <w:rsid w:val="00A04FC0"/>
    <w:rsid w:val="00A154EB"/>
    <w:rsid w:val="00A306FA"/>
    <w:rsid w:val="00A40FD1"/>
    <w:rsid w:val="00A415A1"/>
    <w:rsid w:val="00A42B15"/>
    <w:rsid w:val="00A514DB"/>
    <w:rsid w:val="00A669B7"/>
    <w:rsid w:val="00A909ED"/>
    <w:rsid w:val="00A92D7E"/>
    <w:rsid w:val="00A9359E"/>
    <w:rsid w:val="00A935D9"/>
    <w:rsid w:val="00AA1056"/>
    <w:rsid w:val="00AA58B9"/>
    <w:rsid w:val="00AA58D5"/>
    <w:rsid w:val="00AB4A81"/>
    <w:rsid w:val="00AC0039"/>
    <w:rsid w:val="00AC5D73"/>
    <w:rsid w:val="00AD65A2"/>
    <w:rsid w:val="00AE5999"/>
    <w:rsid w:val="00AF53FE"/>
    <w:rsid w:val="00AF5687"/>
    <w:rsid w:val="00AF7E65"/>
    <w:rsid w:val="00B011FA"/>
    <w:rsid w:val="00B027E7"/>
    <w:rsid w:val="00B07A6A"/>
    <w:rsid w:val="00B17728"/>
    <w:rsid w:val="00B20126"/>
    <w:rsid w:val="00B24A06"/>
    <w:rsid w:val="00B354CB"/>
    <w:rsid w:val="00B370EA"/>
    <w:rsid w:val="00B3763F"/>
    <w:rsid w:val="00B43F61"/>
    <w:rsid w:val="00B46B14"/>
    <w:rsid w:val="00B75A61"/>
    <w:rsid w:val="00B97F07"/>
    <w:rsid w:val="00BB4611"/>
    <w:rsid w:val="00BD0C7E"/>
    <w:rsid w:val="00BD562A"/>
    <w:rsid w:val="00BE3E24"/>
    <w:rsid w:val="00BE4175"/>
    <w:rsid w:val="00BF2BF1"/>
    <w:rsid w:val="00BF6038"/>
    <w:rsid w:val="00BF689A"/>
    <w:rsid w:val="00C01778"/>
    <w:rsid w:val="00C10BC6"/>
    <w:rsid w:val="00C619F2"/>
    <w:rsid w:val="00C7769E"/>
    <w:rsid w:val="00CA1FC8"/>
    <w:rsid w:val="00CA3A2E"/>
    <w:rsid w:val="00CB042D"/>
    <w:rsid w:val="00D123AB"/>
    <w:rsid w:val="00D30C81"/>
    <w:rsid w:val="00D448E3"/>
    <w:rsid w:val="00D75486"/>
    <w:rsid w:val="00DA225A"/>
    <w:rsid w:val="00DA79BC"/>
    <w:rsid w:val="00DB5D23"/>
    <w:rsid w:val="00DB61B2"/>
    <w:rsid w:val="00DB72E1"/>
    <w:rsid w:val="00DC6EA6"/>
    <w:rsid w:val="00DD0E73"/>
    <w:rsid w:val="00DE768C"/>
    <w:rsid w:val="00DF4EBE"/>
    <w:rsid w:val="00E53309"/>
    <w:rsid w:val="00E5661B"/>
    <w:rsid w:val="00E57C03"/>
    <w:rsid w:val="00E62556"/>
    <w:rsid w:val="00E83016"/>
    <w:rsid w:val="00EA6759"/>
    <w:rsid w:val="00EA7EDC"/>
    <w:rsid w:val="00EB40B7"/>
    <w:rsid w:val="00F03F97"/>
    <w:rsid w:val="00F26646"/>
    <w:rsid w:val="00F27DE1"/>
    <w:rsid w:val="00F5682F"/>
    <w:rsid w:val="00F60C99"/>
    <w:rsid w:val="00F724FE"/>
    <w:rsid w:val="00F80592"/>
    <w:rsid w:val="00F83AB3"/>
    <w:rsid w:val="00FA1C32"/>
    <w:rsid w:val="00FA3165"/>
    <w:rsid w:val="00FA5505"/>
    <w:rsid w:val="00FC1C39"/>
    <w:rsid w:val="00FC430F"/>
    <w:rsid w:val="00FD7ABE"/>
    <w:rsid w:val="00FE71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4FE"/>
    <w:pPr>
      <w:spacing w:after="0" w:line="240" w:lineRule="auto"/>
    </w:pPr>
    <w:rPr>
      <w:rFonts w:ascii="Verdana" w:eastAsia="Times New Roman" w:hAnsi="Verdana" w:cs="Times New Roman"/>
      <w:sz w:val="18"/>
      <w:szCs w:val="18"/>
    </w:rPr>
  </w:style>
  <w:style w:type="paragraph" w:styleId="Ttulo1">
    <w:name w:val="heading 1"/>
    <w:basedOn w:val="Normal"/>
    <w:next w:val="Normal"/>
    <w:link w:val="Ttulo1Char"/>
    <w:qFormat/>
    <w:rsid w:val="00F724FE"/>
    <w:pPr>
      <w:keepNext/>
      <w:ind w:left="708" w:firstLine="708"/>
      <w:jc w:val="both"/>
      <w:outlineLvl w:val="0"/>
    </w:pPr>
    <w:rPr>
      <w:b/>
      <w:i/>
      <w:sz w:val="28"/>
    </w:rPr>
  </w:style>
  <w:style w:type="paragraph" w:styleId="Ttulo2">
    <w:name w:val="heading 2"/>
    <w:basedOn w:val="Normal"/>
    <w:next w:val="Normal"/>
    <w:link w:val="Ttulo2Char"/>
    <w:uiPriority w:val="9"/>
    <w:unhideWhenUsed/>
    <w:qFormat/>
    <w:rsid w:val="00742006"/>
    <w:pPr>
      <w:keepNext/>
      <w:spacing w:before="240" w:after="60"/>
      <w:outlineLvl w:val="1"/>
    </w:pPr>
    <w:rPr>
      <w:rFonts w:ascii="Cambria" w:hAnsi="Cambria"/>
      <w:b/>
      <w:bCs/>
      <w:i/>
      <w:iCs/>
      <w:sz w:val="28"/>
      <w:szCs w:val="28"/>
      <w:lang w:eastAsia="pt-BR"/>
    </w:rPr>
  </w:style>
  <w:style w:type="paragraph" w:styleId="Ttulo4">
    <w:name w:val="heading 4"/>
    <w:basedOn w:val="Normal"/>
    <w:next w:val="Normal"/>
    <w:link w:val="Ttulo4Char"/>
    <w:uiPriority w:val="9"/>
    <w:semiHidden/>
    <w:unhideWhenUsed/>
    <w:qFormat/>
    <w:rsid w:val="00742006"/>
    <w:pPr>
      <w:keepNext/>
      <w:spacing w:before="240" w:after="60"/>
      <w:outlineLvl w:val="3"/>
    </w:pPr>
    <w:rPr>
      <w:rFonts w:ascii="Calibri" w:hAnsi="Calibri"/>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4FAB"/>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464FAB"/>
  </w:style>
  <w:style w:type="paragraph" w:styleId="Rodap">
    <w:name w:val="footer"/>
    <w:basedOn w:val="Normal"/>
    <w:link w:val="RodapChar"/>
    <w:uiPriority w:val="99"/>
    <w:unhideWhenUsed/>
    <w:rsid w:val="00464FAB"/>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464FAB"/>
  </w:style>
  <w:style w:type="paragraph" w:styleId="Textodebalo">
    <w:name w:val="Balloon Text"/>
    <w:basedOn w:val="Normal"/>
    <w:link w:val="TextodebaloChar"/>
    <w:uiPriority w:val="99"/>
    <w:semiHidden/>
    <w:unhideWhenUsed/>
    <w:rsid w:val="00464FAB"/>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464FAB"/>
    <w:rPr>
      <w:rFonts w:ascii="Tahoma" w:hAnsi="Tahoma" w:cs="Tahoma"/>
      <w:sz w:val="16"/>
      <w:szCs w:val="16"/>
    </w:rPr>
  </w:style>
  <w:style w:type="paragraph" w:styleId="PargrafodaLista">
    <w:name w:val="List Paragraph"/>
    <w:basedOn w:val="Normal"/>
    <w:uiPriority w:val="34"/>
    <w:qFormat/>
    <w:rsid w:val="00561B6E"/>
    <w:pPr>
      <w:spacing w:after="200" w:line="276" w:lineRule="auto"/>
      <w:ind w:left="720"/>
      <w:contextualSpacing/>
    </w:pPr>
    <w:rPr>
      <w:rFonts w:asciiTheme="minorHAnsi" w:eastAsiaTheme="minorHAnsi" w:hAnsiTheme="minorHAnsi" w:cstheme="minorBidi"/>
      <w:sz w:val="22"/>
      <w:szCs w:val="22"/>
    </w:rPr>
  </w:style>
  <w:style w:type="character" w:customStyle="1" w:styleId="Ttulo1Char">
    <w:name w:val="Título 1 Char"/>
    <w:basedOn w:val="Fontepargpadro"/>
    <w:link w:val="Ttulo1"/>
    <w:rsid w:val="00F724FE"/>
    <w:rPr>
      <w:rFonts w:ascii="Verdana" w:eastAsia="Times New Roman" w:hAnsi="Verdana" w:cs="Times New Roman"/>
      <w:b/>
      <w:i/>
      <w:sz w:val="28"/>
      <w:szCs w:val="18"/>
    </w:rPr>
  </w:style>
  <w:style w:type="paragraph" w:styleId="Recuodecorpodetexto2">
    <w:name w:val="Body Text Indent 2"/>
    <w:basedOn w:val="Normal"/>
    <w:link w:val="Recuodecorpodetexto2Char"/>
    <w:rsid w:val="00F724FE"/>
    <w:pPr>
      <w:ind w:left="708" w:firstLine="708"/>
      <w:jc w:val="both"/>
    </w:pPr>
    <w:rPr>
      <w:rFonts w:ascii="Arial" w:hAnsi="Arial" w:cs="Arial"/>
      <w:sz w:val="28"/>
    </w:rPr>
  </w:style>
  <w:style w:type="character" w:customStyle="1" w:styleId="Recuodecorpodetexto2Char">
    <w:name w:val="Recuo de corpo de texto 2 Char"/>
    <w:basedOn w:val="Fontepargpadro"/>
    <w:link w:val="Recuodecorpodetexto2"/>
    <w:rsid w:val="00F724FE"/>
    <w:rPr>
      <w:rFonts w:ascii="Arial" w:eastAsia="Times New Roman" w:hAnsi="Arial" w:cs="Arial"/>
      <w:sz w:val="28"/>
      <w:szCs w:val="18"/>
    </w:rPr>
  </w:style>
  <w:style w:type="paragraph" w:styleId="Corpodetexto">
    <w:name w:val="Body Text"/>
    <w:basedOn w:val="Normal"/>
    <w:link w:val="CorpodetextoChar"/>
    <w:uiPriority w:val="99"/>
    <w:semiHidden/>
    <w:unhideWhenUsed/>
    <w:rsid w:val="00742006"/>
    <w:pPr>
      <w:spacing w:after="120"/>
    </w:pPr>
  </w:style>
  <w:style w:type="character" w:customStyle="1" w:styleId="CorpodetextoChar">
    <w:name w:val="Corpo de texto Char"/>
    <w:basedOn w:val="Fontepargpadro"/>
    <w:link w:val="Corpodetexto"/>
    <w:uiPriority w:val="99"/>
    <w:semiHidden/>
    <w:rsid w:val="00742006"/>
    <w:rPr>
      <w:rFonts w:ascii="Verdana" w:eastAsia="Times New Roman" w:hAnsi="Verdana" w:cs="Times New Roman"/>
      <w:sz w:val="18"/>
      <w:szCs w:val="18"/>
    </w:rPr>
  </w:style>
  <w:style w:type="character" w:customStyle="1" w:styleId="Ttulo2Char">
    <w:name w:val="Título 2 Char"/>
    <w:basedOn w:val="Fontepargpadro"/>
    <w:link w:val="Ttulo2"/>
    <w:uiPriority w:val="9"/>
    <w:rsid w:val="00742006"/>
    <w:rPr>
      <w:rFonts w:ascii="Cambria" w:eastAsia="Times New Roman" w:hAnsi="Cambria" w:cs="Times New Roman"/>
      <w:b/>
      <w:bCs/>
      <w:i/>
      <w:iCs/>
      <w:sz w:val="28"/>
      <w:szCs w:val="28"/>
      <w:lang w:eastAsia="pt-BR"/>
    </w:rPr>
  </w:style>
  <w:style w:type="character" w:customStyle="1" w:styleId="Ttulo4Char">
    <w:name w:val="Título 4 Char"/>
    <w:basedOn w:val="Fontepargpadro"/>
    <w:link w:val="Ttulo4"/>
    <w:uiPriority w:val="9"/>
    <w:semiHidden/>
    <w:rsid w:val="00742006"/>
    <w:rPr>
      <w:rFonts w:ascii="Calibri" w:eastAsia="Times New Roman" w:hAnsi="Calibri" w:cs="Times New Roman"/>
      <w:b/>
      <w:bCs/>
      <w:sz w:val="28"/>
      <w:szCs w:val="28"/>
      <w:lang w:eastAsia="pt-BR"/>
    </w:rPr>
  </w:style>
  <w:style w:type="paragraph" w:customStyle="1" w:styleId="1111111">
    <w:name w:val="1111111"/>
    <w:basedOn w:val="Normal"/>
    <w:autoRedefine/>
    <w:qFormat/>
    <w:rsid w:val="00742006"/>
    <w:pPr>
      <w:spacing w:after="200" w:line="276" w:lineRule="auto"/>
      <w:ind w:firstLine="851"/>
      <w:jc w:val="both"/>
    </w:pPr>
    <w:rPr>
      <w:rFonts w:ascii="Times New Roman" w:eastAsia="Calibri" w:hAnsi="Times New Roman"/>
      <w:bCs/>
      <w:sz w:val="24"/>
      <w:szCs w:val="23"/>
    </w:rPr>
  </w:style>
  <w:style w:type="paragraph" w:customStyle="1" w:styleId="Blockquote">
    <w:name w:val="Blockquote"/>
    <w:basedOn w:val="Normal"/>
    <w:rsid w:val="00EA7EDC"/>
    <w:pPr>
      <w:snapToGrid w:val="0"/>
      <w:spacing w:before="100" w:after="100"/>
      <w:ind w:left="360" w:right="360"/>
    </w:pPr>
    <w:rPr>
      <w:rFonts w:ascii="Times New Roman" w:hAnsi="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4FE"/>
    <w:pPr>
      <w:spacing w:after="0" w:line="240" w:lineRule="auto"/>
    </w:pPr>
    <w:rPr>
      <w:rFonts w:ascii="Verdana" w:eastAsia="Times New Roman" w:hAnsi="Verdana" w:cs="Times New Roman"/>
      <w:sz w:val="18"/>
      <w:szCs w:val="18"/>
    </w:rPr>
  </w:style>
  <w:style w:type="paragraph" w:styleId="Ttulo1">
    <w:name w:val="heading 1"/>
    <w:basedOn w:val="Normal"/>
    <w:next w:val="Normal"/>
    <w:link w:val="Ttulo1Char"/>
    <w:qFormat/>
    <w:rsid w:val="00F724FE"/>
    <w:pPr>
      <w:keepNext/>
      <w:ind w:left="708" w:firstLine="708"/>
      <w:jc w:val="both"/>
      <w:outlineLvl w:val="0"/>
    </w:pPr>
    <w:rPr>
      <w:b/>
      <w:i/>
      <w:sz w:val="28"/>
    </w:rPr>
  </w:style>
  <w:style w:type="paragraph" w:styleId="Ttulo2">
    <w:name w:val="heading 2"/>
    <w:basedOn w:val="Normal"/>
    <w:next w:val="Normal"/>
    <w:link w:val="Ttulo2Char"/>
    <w:uiPriority w:val="9"/>
    <w:unhideWhenUsed/>
    <w:qFormat/>
    <w:rsid w:val="00742006"/>
    <w:pPr>
      <w:keepNext/>
      <w:spacing w:before="240" w:after="60"/>
      <w:outlineLvl w:val="1"/>
    </w:pPr>
    <w:rPr>
      <w:rFonts w:ascii="Cambria" w:hAnsi="Cambria"/>
      <w:b/>
      <w:bCs/>
      <w:i/>
      <w:iCs/>
      <w:sz w:val="28"/>
      <w:szCs w:val="28"/>
      <w:lang w:eastAsia="pt-BR"/>
    </w:rPr>
  </w:style>
  <w:style w:type="paragraph" w:styleId="Ttulo4">
    <w:name w:val="heading 4"/>
    <w:basedOn w:val="Normal"/>
    <w:next w:val="Normal"/>
    <w:link w:val="Ttulo4Char"/>
    <w:uiPriority w:val="9"/>
    <w:semiHidden/>
    <w:unhideWhenUsed/>
    <w:qFormat/>
    <w:rsid w:val="00742006"/>
    <w:pPr>
      <w:keepNext/>
      <w:spacing w:before="240" w:after="60"/>
      <w:outlineLvl w:val="3"/>
    </w:pPr>
    <w:rPr>
      <w:rFonts w:ascii="Calibri" w:hAnsi="Calibri"/>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4FAB"/>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464FAB"/>
  </w:style>
  <w:style w:type="paragraph" w:styleId="Rodap">
    <w:name w:val="footer"/>
    <w:basedOn w:val="Normal"/>
    <w:link w:val="RodapChar"/>
    <w:uiPriority w:val="99"/>
    <w:unhideWhenUsed/>
    <w:rsid w:val="00464FAB"/>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464FAB"/>
  </w:style>
  <w:style w:type="paragraph" w:styleId="Textodebalo">
    <w:name w:val="Balloon Text"/>
    <w:basedOn w:val="Normal"/>
    <w:link w:val="TextodebaloChar"/>
    <w:uiPriority w:val="99"/>
    <w:semiHidden/>
    <w:unhideWhenUsed/>
    <w:rsid w:val="00464FAB"/>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464FAB"/>
    <w:rPr>
      <w:rFonts w:ascii="Tahoma" w:hAnsi="Tahoma" w:cs="Tahoma"/>
      <w:sz w:val="16"/>
      <w:szCs w:val="16"/>
    </w:rPr>
  </w:style>
  <w:style w:type="paragraph" w:styleId="PargrafodaLista">
    <w:name w:val="List Paragraph"/>
    <w:basedOn w:val="Normal"/>
    <w:uiPriority w:val="34"/>
    <w:qFormat/>
    <w:rsid w:val="00561B6E"/>
    <w:pPr>
      <w:spacing w:after="200" w:line="276" w:lineRule="auto"/>
      <w:ind w:left="720"/>
      <w:contextualSpacing/>
    </w:pPr>
    <w:rPr>
      <w:rFonts w:asciiTheme="minorHAnsi" w:eastAsiaTheme="minorHAnsi" w:hAnsiTheme="minorHAnsi" w:cstheme="minorBidi"/>
      <w:sz w:val="22"/>
      <w:szCs w:val="22"/>
    </w:rPr>
  </w:style>
  <w:style w:type="character" w:customStyle="1" w:styleId="Ttulo1Char">
    <w:name w:val="Título 1 Char"/>
    <w:basedOn w:val="Fontepargpadro"/>
    <w:link w:val="Ttulo1"/>
    <w:rsid w:val="00F724FE"/>
    <w:rPr>
      <w:rFonts w:ascii="Verdana" w:eastAsia="Times New Roman" w:hAnsi="Verdana" w:cs="Times New Roman"/>
      <w:b/>
      <w:i/>
      <w:sz w:val="28"/>
      <w:szCs w:val="18"/>
    </w:rPr>
  </w:style>
  <w:style w:type="paragraph" w:styleId="Recuodecorpodetexto2">
    <w:name w:val="Body Text Indent 2"/>
    <w:basedOn w:val="Normal"/>
    <w:link w:val="Recuodecorpodetexto2Char"/>
    <w:rsid w:val="00F724FE"/>
    <w:pPr>
      <w:ind w:left="708" w:firstLine="708"/>
      <w:jc w:val="both"/>
    </w:pPr>
    <w:rPr>
      <w:rFonts w:ascii="Arial" w:hAnsi="Arial" w:cs="Arial"/>
      <w:sz w:val="28"/>
    </w:rPr>
  </w:style>
  <w:style w:type="character" w:customStyle="1" w:styleId="Recuodecorpodetexto2Char">
    <w:name w:val="Recuo de corpo de texto 2 Char"/>
    <w:basedOn w:val="Fontepargpadro"/>
    <w:link w:val="Recuodecorpodetexto2"/>
    <w:rsid w:val="00F724FE"/>
    <w:rPr>
      <w:rFonts w:ascii="Arial" w:eastAsia="Times New Roman" w:hAnsi="Arial" w:cs="Arial"/>
      <w:sz w:val="28"/>
      <w:szCs w:val="18"/>
    </w:rPr>
  </w:style>
  <w:style w:type="paragraph" w:styleId="Corpodetexto">
    <w:name w:val="Body Text"/>
    <w:basedOn w:val="Normal"/>
    <w:link w:val="CorpodetextoChar"/>
    <w:uiPriority w:val="99"/>
    <w:semiHidden/>
    <w:unhideWhenUsed/>
    <w:rsid w:val="00742006"/>
    <w:pPr>
      <w:spacing w:after="120"/>
    </w:pPr>
  </w:style>
  <w:style w:type="character" w:customStyle="1" w:styleId="CorpodetextoChar">
    <w:name w:val="Corpo de texto Char"/>
    <w:basedOn w:val="Fontepargpadro"/>
    <w:link w:val="Corpodetexto"/>
    <w:uiPriority w:val="99"/>
    <w:semiHidden/>
    <w:rsid w:val="00742006"/>
    <w:rPr>
      <w:rFonts w:ascii="Verdana" w:eastAsia="Times New Roman" w:hAnsi="Verdana" w:cs="Times New Roman"/>
      <w:sz w:val="18"/>
      <w:szCs w:val="18"/>
    </w:rPr>
  </w:style>
  <w:style w:type="character" w:customStyle="1" w:styleId="Ttulo2Char">
    <w:name w:val="Título 2 Char"/>
    <w:basedOn w:val="Fontepargpadro"/>
    <w:link w:val="Ttulo2"/>
    <w:uiPriority w:val="9"/>
    <w:rsid w:val="00742006"/>
    <w:rPr>
      <w:rFonts w:ascii="Cambria" w:eastAsia="Times New Roman" w:hAnsi="Cambria" w:cs="Times New Roman"/>
      <w:b/>
      <w:bCs/>
      <w:i/>
      <w:iCs/>
      <w:sz w:val="28"/>
      <w:szCs w:val="28"/>
      <w:lang w:eastAsia="pt-BR"/>
    </w:rPr>
  </w:style>
  <w:style w:type="character" w:customStyle="1" w:styleId="Ttulo4Char">
    <w:name w:val="Título 4 Char"/>
    <w:basedOn w:val="Fontepargpadro"/>
    <w:link w:val="Ttulo4"/>
    <w:uiPriority w:val="9"/>
    <w:semiHidden/>
    <w:rsid w:val="00742006"/>
    <w:rPr>
      <w:rFonts w:ascii="Calibri" w:eastAsia="Times New Roman" w:hAnsi="Calibri" w:cs="Times New Roman"/>
      <w:b/>
      <w:bCs/>
      <w:sz w:val="28"/>
      <w:szCs w:val="28"/>
      <w:lang w:eastAsia="pt-BR"/>
    </w:rPr>
  </w:style>
  <w:style w:type="paragraph" w:customStyle="1" w:styleId="1111111">
    <w:name w:val="1111111"/>
    <w:basedOn w:val="Normal"/>
    <w:autoRedefine/>
    <w:qFormat/>
    <w:rsid w:val="00742006"/>
    <w:pPr>
      <w:spacing w:after="200" w:line="276" w:lineRule="auto"/>
      <w:ind w:firstLine="851"/>
      <w:jc w:val="both"/>
    </w:pPr>
    <w:rPr>
      <w:rFonts w:ascii="Times New Roman" w:eastAsia="Calibri" w:hAnsi="Times New Roman"/>
      <w:bCs/>
      <w:sz w:val="24"/>
      <w:szCs w:val="23"/>
    </w:rPr>
  </w:style>
  <w:style w:type="paragraph" w:customStyle="1" w:styleId="Blockquote">
    <w:name w:val="Blockquote"/>
    <w:basedOn w:val="Normal"/>
    <w:rsid w:val="00EA7EDC"/>
    <w:pPr>
      <w:snapToGrid w:val="0"/>
      <w:spacing w:before="100" w:after="100"/>
      <w:ind w:left="360" w:right="360"/>
    </w:pPr>
    <w:rPr>
      <w:rFonts w:ascii="Times New Roman" w:hAnsi="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4039-4146-423B-B651-4D043361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5293</Words>
  <Characters>28588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Prefeito</dc:creator>
  <cp:lastModifiedBy>Usuário</cp:lastModifiedBy>
  <cp:revision>3</cp:revision>
  <cp:lastPrinted>2015-04-29T18:45:00Z</cp:lastPrinted>
  <dcterms:created xsi:type="dcterms:W3CDTF">2015-06-29T18:51:00Z</dcterms:created>
  <dcterms:modified xsi:type="dcterms:W3CDTF">2015-06-29T18:54:00Z</dcterms:modified>
</cp:coreProperties>
</file>